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entelstinklelis"/>
        <w:tblW w:w="5322" w:type="pct"/>
        <w:tblLook w:val="04A0"/>
      </w:tblPr>
      <w:tblGrid>
        <w:gridCol w:w="4078"/>
        <w:gridCol w:w="5851"/>
        <w:gridCol w:w="5206"/>
      </w:tblGrid>
      <w:tr w:rsidR="003D2B57" w:rsidRPr="005B7990" w:rsidTr="00584315">
        <w:tc>
          <w:tcPr>
            <w:tcW w:w="3280" w:type="pct"/>
            <w:gridSpan w:val="2"/>
            <w:tcBorders>
              <w:bottom w:val="single" w:sz="12" w:space="0" w:color="FF0000"/>
            </w:tcBorders>
          </w:tcPr>
          <w:p w:rsidR="003D2B57" w:rsidRPr="005B7990" w:rsidRDefault="003D2B57" w:rsidP="009F1611">
            <w:pPr>
              <w:jc w:val="center"/>
              <w:rPr>
                <w:rFonts w:ascii="Times New Roman" w:hAnsi="Times New Roman" w:cs="Times New Roman"/>
                <w:b/>
                <w:color w:val="FF0000"/>
                <w:sz w:val="36"/>
                <w:szCs w:val="36"/>
              </w:rPr>
            </w:pPr>
            <w:r w:rsidRPr="005B7990">
              <w:rPr>
                <w:rFonts w:ascii="Times New Roman" w:hAnsi="Times New Roman" w:cs="Times New Roman"/>
                <w:b/>
                <w:color w:val="FF0000"/>
                <w:sz w:val="36"/>
                <w:szCs w:val="36"/>
              </w:rPr>
              <w:t>NUO 2017.01.01</w:t>
            </w:r>
          </w:p>
        </w:tc>
        <w:tc>
          <w:tcPr>
            <w:tcW w:w="1720" w:type="pct"/>
            <w:tcBorders>
              <w:bottom w:val="single" w:sz="12" w:space="0" w:color="FF0000"/>
            </w:tcBorders>
          </w:tcPr>
          <w:p w:rsidR="003D2B57" w:rsidRPr="005B7990" w:rsidRDefault="003D2B57" w:rsidP="009F1611">
            <w:pPr>
              <w:jc w:val="center"/>
              <w:rPr>
                <w:rFonts w:ascii="Times New Roman" w:hAnsi="Times New Roman" w:cs="Times New Roman"/>
                <w:b/>
                <w:color w:val="FF0000"/>
                <w:sz w:val="36"/>
                <w:szCs w:val="36"/>
              </w:rPr>
            </w:pPr>
            <w:r w:rsidRPr="005B7990">
              <w:rPr>
                <w:rFonts w:ascii="Times New Roman" w:hAnsi="Times New Roman" w:cs="Times New Roman"/>
                <w:b/>
                <w:color w:val="FF0000"/>
                <w:sz w:val="36"/>
                <w:szCs w:val="36"/>
              </w:rPr>
              <w:t>IKI 2016.12.31</w:t>
            </w:r>
          </w:p>
        </w:tc>
      </w:tr>
      <w:tr w:rsidR="003D2B57" w:rsidRPr="002A33D4" w:rsidTr="00584315">
        <w:tc>
          <w:tcPr>
            <w:tcW w:w="1347" w:type="pct"/>
            <w:vMerge w:val="restart"/>
            <w:tcBorders>
              <w:top w:val="single" w:sz="12" w:space="0" w:color="FF0000"/>
              <w:left w:val="single" w:sz="12" w:space="0" w:color="FF0000"/>
            </w:tcBorders>
            <w:shd w:val="clear" w:color="auto" w:fill="FDE9D9" w:themeFill="accent6" w:themeFillTint="33"/>
          </w:tcPr>
          <w:p w:rsidR="003D2B57" w:rsidRPr="002A33D4" w:rsidRDefault="00584315">
            <w:pPr>
              <w:rPr>
                <w:rFonts w:ascii="Times New Roman" w:hAnsi="Times New Roman" w:cs="Times New Roman"/>
                <w:sz w:val="24"/>
                <w:szCs w:val="24"/>
              </w:rPr>
            </w:pPr>
            <w:r>
              <w:rPr>
                <w:rFonts w:ascii="Times New Roman" w:hAnsi="Times New Roman" w:cs="Times New Roman"/>
                <w:color w:val="000000"/>
                <w:sz w:val="24"/>
                <w:szCs w:val="24"/>
              </w:rPr>
              <w:t>A</w:t>
            </w:r>
            <w:r w:rsidR="003D2B57" w:rsidRPr="002A33D4">
              <w:rPr>
                <w:rFonts w:ascii="Times New Roman" w:hAnsi="Times New Roman" w:cs="Times New Roman"/>
                <w:color w:val="000000"/>
                <w:sz w:val="24"/>
                <w:szCs w:val="24"/>
              </w:rPr>
              <w:t>smenys</w:t>
            </w:r>
            <w:r w:rsidR="005B7990">
              <w:rPr>
                <w:rFonts w:ascii="Times New Roman" w:hAnsi="Times New Roman" w:cs="Times New Roman"/>
                <w:color w:val="000000"/>
                <w:sz w:val="24"/>
                <w:szCs w:val="24"/>
              </w:rPr>
              <w:t xml:space="preserve"> (vaikams iki 18 metų)</w:t>
            </w:r>
            <w:r w:rsidR="003D2B57" w:rsidRPr="002A33D4">
              <w:rPr>
                <w:rFonts w:ascii="Times New Roman" w:hAnsi="Times New Roman" w:cs="Times New Roman"/>
                <w:color w:val="000000"/>
                <w:sz w:val="24"/>
                <w:szCs w:val="24"/>
              </w:rPr>
              <w:t>, kuriems nustatytas sunkus, vidutinis ar lengvas neįgalumas;</w:t>
            </w:r>
          </w:p>
        </w:tc>
        <w:tc>
          <w:tcPr>
            <w:tcW w:w="1933" w:type="pct"/>
            <w:tcBorders>
              <w:top w:val="single" w:sz="12" w:space="0" w:color="FF0000"/>
            </w:tcBorders>
            <w:shd w:val="clear" w:color="auto" w:fill="FDE9D9" w:themeFill="accent6" w:themeFillTint="33"/>
          </w:tcPr>
          <w:p w:rsidR="003D2B57" w:rsidRPr="00584315" w:rsidRDefault="002A33D4" w:rsidP="002A33D4">
            <w:pPr>
              <w:rPr>
                <w:rFonts w:ascii="Times New Roman" w:hAnsi="Times New Roman" w:cs="Times New Roman"/>
                <w:sz w:val="24"/>
                <w:szCs w:val="24"/>
              </w:rPr>
            </w:pPr>
            <w:r w:rsidRPr="00584315">
              <w:rPr>
                <w:rFonts w:ascii="Times New Roman" w:hAnsi="Times New Roman" w:cs="Times New Roman"/>
                <w:color w:val="000000"/>
                <w:sz w:val="24"/>
                <w:szCs w:val="24"/>
              </w:rPr>
              <w:t xml:space="preserve">sunkus neįgalumas </w:t>
            </w:r>
            <w:r w:rsidR="003D2B57" w:rsidRPr="00584315">
              <w:rPr>
                <w:rFonts w:ascii="Times New Roman" w:hAnsi="Times New Roman" w:cs="Times New Roman"/>
                <w:color w:val="000000"/>
                <w:sz w:val="24"/>
                <w:szCs w:val="24"/>
              </w:rPr>
              <w:t xml:space="preserve">– </w:t>
            </w:r>
            <w:r w:rsidRPr="00584315">
              <w:rPr>
                <w:rFonts w:ascii="Times New Roman" w:hAnsi="Times New Roman" w:cs="Times New Roman"/>
                <w:b/>
                <w:color w:val="000000"/>
                <w:sz w:val="24"/>
                <w:szCs w:val="24"/>
              </w:rPr>
              <w:t xml:space="preserve">224,00 </w:t>
            </w:r>
            <w:r w:rsidR="00460604" w:rsidRPr="00584315">
              <w:rPr>
                <w:rFonts w:ascii="Times New Roman" w:hAnsi="Times New Roman" w:cs="Times New Roman"/>
                <w:b/>
                <w:color w:val="000000"/>
                <w:sz w:val="24"/>
                <w:szCs w:val="24"/>
              </w:rPr>
              <w:t>Eur</w:t>
            </w:r>
            <w:r w:rsidRPr="00584315">
              <w:rPr>
                <w:rFonts w:ascii="Times New Roman" w:hAnsi="Times New Roman" w:cs="Times New Roman"/>
                <w:color w:val="000000"/>
                <w:sz w:val="24"/>
                <w:szCs w:val="24"/>
              </w:rPr>
              <w:t xml:space="preserve"> (</w:t>
            </w:r>
            <w:r w:rsidR="003D2B57" w:rsidRPr="00584315">
              <w:rPr>
                <w:rFonts w:ascii="Times New Roman" w:hAnsi="Times New Roman" w:cs="Times New Roman"/>
                <w:color w:val="000000"/>
                <w:sz w:val="24"/>
                <w:szCs w:val="24"/>
              </w:rPr>
              <w:t>2 ŠPB</w:t>
            </w:r>
            <w:r w:rsidRPr="00584315">
              <w:rPr>
                <w:rFonts w:ascii="Times New Roman" w:hAnsi="Times New Roman" w:cs="Times New Roman"/>
                <w:color w:val="000000"/>
                <w:sz w:val="24"/>
                <w:szCs w:val="24"/>
              </w:rPr>
              <w:t>)</w:t>
            </w:r>
            <w:r w:rsidR="003D2B57" w:rsidRPr="00584315">
              <w:rPr>
                <w:rFonts w:ascii="Times New Roman" w:hAnsi="Times New Roman" w:cs="Times New Roman"/>
                <w:color w:val="000000"/>
                <w:sz w:val="24"/>
                <w:szCs w:val="24"/>
              </w:rPr>
              <w:t>;</w:t>
            </w:r>
          </w:p>
        </w:tc>
        <w:tc>
          <w:tcPr>
            <w:tcW w:w="1720" w:type="pct"/>
            <w:tcBorders>
              <w:top w:val="single" w:sz="12" w:space="0" w:color="FF0000"/>
              <w:right w:val="single" w:sz="12" w:space="0" w:color="FF0000"/>
            </w:tcBorders>
            <w:shd w:val="clear" w:color="auto" w:fill="FDE9D9" w:themeFill="accent6" w:themeFillTint="33"/>
          </w:tcPr>
          <w:p w:rsidR="003D2B57" w:rsidRPr="00584315" w:rsidRDefault="003D2B57">
            <w:pPr>
              <w:rPr>
                <w:rFonts w:ascii="Times New Roman" w:hAnsi="Times New Roman" w:cs="Times New Roman"/>
                <w:sz w:val="24"/>
                <w:szCs w:val="24"/>
              </w:rPr>
            </w:pPr>
            <w:r w:rsidRPr="00584315">
              <w:rPr>
                <w:rFonts w:ascii="Times New Roman" w:hAnsi="Times New Roman" w:cs="Times New Roman"/>
                <w:sz w:val="24"/>
                <w:szCs w:val="24"/>
              </w:rPr>
              <w:t>sunkus neįgalumas — </w:t>
            </w:r>
            <w:r w:rsidRPr="00584315">
              <w:rPr>
                <w:rFonts w:ascii="Times New Roman" w:hAnsi="Times New Roman" w:cs="Times New Roman"/>
                <w:b/>
                <w:bCs/>
                <w:sz w:val="24"/>
                <w:szCs w:val="24"/>
              </w:rPr>
              <w:t>224,00</w:t>
            </w:r>
            <w:r w:rsidRPr="00584315">
              <w:rPr>
                <w:rFonts w:ascii="Times New Roman" w:hAnsi="Times New Roman" w:cs="Times New Roman"/>
                <w:sz w:val="24"/>
                <w:szCs w:val="24"/>
              </w:rPr>
              <w:t> </w:t>
            </w:r>
            <w:r w:rsidRPr="005B7990">
              <w:rPr>
                <w:rFonts w:ascii="Times New Roman" w:hAnsi="Times New Roman" w:cs="Times New Roman"/>
                <w:b/>
                <w:sz w:val="24"/>
                <w:szCs w:val="24"/>
              </w:rPr>
              <w:t>Eur</w:t>
            </w:r>
            <w:r w:rsidRPr="00584315">
              <w:rPr>
                <w:rFonts w:ascii="Times New Roman" w:hAnsi="Times New Roman" w:cs="Times New Roman"/>
                <w:sz w:val="24"/>
                <w:szCs w:val="24"/>
              </w:rPr>
              <w:t xml:space="preserve"> (2 BPD)</w:t>
            </w:r>
          </w:p>
        </w:tc>
      </w:tr>
      <w:tr w:rsidR="003D2B57" w:rsidRPr="002A33D4" w:rsidTr="00584315">
        <w:tc>
          <w:tcPr>
            <w:tcW w:w="1347" w:type="pct"/>
            <w:vMerge/>
            <w:tcBorders>
              <w:left w:val="single" w:sz="12" w:space="0" w:color="FF0000"/>
            </w:tcBorders>
            <w:shd w:val="clear" w:color="auto" w:fill="FDE9D9" w:themeFill="accent6" w:themeFillTint="33"/>
          </w:tcPr>
          <w:p w:rsidR="003D2B57" w:rsidRPr="002A33D4" w:rsidRDefault="003D2B57">
            <w:pPr>
              <w:rPr>
                <w:rFonts w:ascii="Times New Roman" w:hAnsi="Times New Roman" w:cs="Times New Roman"/>
                <w:sz w:val="24"/>
                <w:szCs w:val="24"/>
              </w:rPr>
            </w:pPr>
          </w:p>
        </w:tc>
        <w:tc>
          <w:tcPr>
            <w:tcW w:w="1933" w:type="pct"/>
            <w:shd w:val="clear" w:color="auto" w:fill="FDE9D9" w:themeFill="accent6" w:themeFillTint="33"/>
          </w:tcPr>
          <w:p w:rsidR="003D2B57" w:rsidRPr="00584315" w:rsidRDefault="002A33D4" w:rsidP="002A33D4">
            <w:pPr>
              <w:rPr>
                <w:rFonts w:ascii="Times New Roman" w:hAnsi="Times New Roman" w:cs="Times New Roman"/>
                <w:sz w:val="24"/>
                <w:szCs w:val="24"/>
              </w:rPr>
            </w:pPr>
            <w:r w:rsidRPr="00584315">
              <w:rPr>
                <w:rFonts w:ascii="Times New Roman" w:hAnsi="Times New Roman" w:cs="Times New Roman"/>
                <w:color w:val="000000"/>
                <w:sz w:val="24"/>
                <w:szCs w:val="24"/>
              </w:rPr>
              <w:t>vidutinis neįgalumas</w:t>
            </w:r>
            <w:r w:rsidR="003D2B57" w:rsidRPr="00584315">
              <w:rPr>
                <w:rFonts w:ascii="Times New Roman" w:hAnsi="Times New Roman" w:cs="Times New Roman"/>
                <w:color w:val="000000"/>
                <w:sz w:val="24"/>
                <w:szCs w:val="24"/>
              </w:rPr>
              <w:t xml:space="preserve"> – </w:t>
            </w:r>
            <w:r w:rsidRPr="005B7990">
              <w:rPr>
                <w:rFonts w:ascii="Times New Roman" w:hAnsi="Times New Roman" w:cs="Times New Roman"/>
                <w:b/>
                <w:bCs/>
                <w:sz w:val="24"/>
                <w:szCs w:val="24"/>
              </w:rPr>
              <w:t>168,00</w:t>
            </w:r>
            <w:r w:rsidRPr="005B7990">
              <w:rPr>
                <w:rFonts w:ascii="Times New Roman" w:hAnsi="Times New Roman" w:cs="Times New Roman"/>
                <w:b/>
                <w:sz w:val="24"/>
                <w:szCs w:val="24"/>
              </w:rPr>
              <w:t> </w:t>
            </w:r>
            <w:r w:rsidRPr="005B7990">
              <w:rPr>
                <w:rFonts w:ascii="Times New Roman" w:hAnsi="Times New Roman" w:cs="Times New Roman"/>
                <w:b/>
                <w:color w:val="000000"/>
                <w:sz w:val="24"/>
                <w:szCs w:val="24"/>
              </w:rPr>
              <w:t>Eur</w:t>
            </w:r>
            <w:r w:rsidRPr="00584315">
              <w:rPr>
                <w:rFonts w:ascii="Times New Roman" w:hAnsi="Times New Roman" w:cs="Times New Roman"/>
                <w:color w:val="000000"/>
                <w:sz w:val="24"/>
                <w:szCs w:val="24"/>
              </w:rPr>
              <w:t xml:space="preserve"> (</w:t>
            </w:r>
            <w:r w:rsidR="003D2B57" w:rsidRPr="00584315">
              <w:rPr>
                <w:rFonts w:ascii="Times New Roman" w:hAnsi="Times New Roman" w:cs="Times New Roman"/>
                <w:color w:val="000000"/>
                <w:sz w:val="24"/>
                <w:szCs w:val="24"/>
              </w:rPr>
              <w:t>1,5 ŠPB</w:t>
            </w:r>
            <w:r w:rsidRPr="00584315">
              <w:rPr>
                <w:rFonts w:ascii="Times New Roman" w:hAnsi="Times New Roman" w:cs="Times New Roman"/>
                <w:color w:val="000000"/>
                <w:sz w:val="24"/>
                <w:szCs w:val="24"/>
              </w:rPr>
              <w:t>)</w:t>
            </w:r>
            <w:r w:rsidR="003D2B57" w:rsidRPr="00584315">
              <w:rPr>
                <w:rFonts w:ascii="Times New Roman" w:hAnsi="Times New Roman" w:cs="Times New Roman"/>
                <w:color w:val="000000"/>
                <w:sz w:val="24"/>
                <w:szCs w:val="24"/>
              </w:rPr>
              <w:t>;</w:t>
            </w:r>
          </w:p>
        </w:tc>
        <w:tc>
          <w:tcPr>
            <w:tcW w:w="1720" w:type="pct"/>
            <w:tcBorders>
              <w:right w:val="single" w:sz="12" w:space="0" w:color="FF0000"/>
            </w:tcBorders>
            <w:shd w:val="clear" w:color="auto" w:fill="FDE9D9" w:themeFill="accent6" w:themeFillTint="33"/>
          </w:tcPr>
          <w:p w:rsidR="003D2B57" w:rsidRPr="00584315" w:rsidRDefault="003D2B57">
            <w:pPr>
              <w:rPr>
                <w:rFonts w:ascii="Times New Roman" w:hAnsi="Times New Roman" w:cs="Times New Roman"/>
                <w:sz w:val="24"/>
                <w:szCs w:val="24"/>
              </w:rPr>
            </w:pPr>
            <w:r w:rsidRPr="00584315">
              <w:rPr>
                <w:rFonts w:ascii="Times New Roman" w:hAnsi="Times New Roman" w:cs="Times New Roman"/>
                <w:sz w:val="24"/>
                <w:szCs w:val="24"/>
              </w:rPr>
              <w:t>vidutinis neįgalumas — </w:t>
            </w:r>
            <w:r w:rsidRPr="00584315">
              <w:rPr>
                <w:rFonts w:ascii="Times New Roman" w:hAnsi="Times New Roman" w:cs="Times New Roman"/>
                <w:b/>
                <w:bCs/>
                <w:sz w:val="24"/>
                <w:szCs w:val="24"/>
              </w:rPr>
              <w:t>168,00</w:t>
            </w:r>
            <w:r w:rsidRPr="00584315">
              <w:rPr>
                <w:rFonts w:ascii="Times New Roman" w:hAnsi="Times New Roman" w:cs="Times New Roman"/>
                <w:sz w:val="24"/>
                <w:szCs w:val="24"/>
              </w:rPr>
              <w:t> </w:t>
            </w:r>
            <w:r w:rsidRPr="005B7990">
              <w:rPr>
                <w:rFonts w:ascii="Times New Roman" w:hAnsi="Times New Roman" w:cs="Times New Roman"/>
                <w:b/>
                <w:sz w:val="24"/>
                <w:szCs w:val="24"/>
              </w:rPr>
              <w:t>Eur</w:t>
            </w:r>
            <w:r w:rsidRPr="00584315">
              <w:rPr>
                <w:rFonts w:ascii="Times New Roman" w:hAnsi="Times New Roman" w:cs="Times New Roman"/>
                <w:sz w:val="24"/>
                <w:szCs w:val="24"/>
              </w:rPr>
              <w:t xml:space="preserve"> (1,5 BPD)</w:t>
            </w:r>
          </w:p>
        </w:tc>
      </w:tr>
      <w:tr w:rsidR="003D2B57" w:rsidRPr="002A33D4" w:rsidTr="00584315">
        <w:tc>
          <w:tcPr>
            <w:tcW w:w="1347" w:type="pct"/>
            <w:vMerge/>
            <w:tcBorders>
              <w:left w:val="single" w:sz="12" w:space="0" w:color="FF0000"/>
              <w:bottom w:val="single" w:sz="12" w:space="0" w:color="FF0000"/>
            </w:tcBorders>
            <w:shd w:val="clear" w:color="auto" w:fill="FDE9D9" w:themeFill="accent6" w:themeFillTint="33"/>
          </w:tcPr>
          <w:p w:rsidR="003D2B57" w:rsidRPr="002A33D4" w:rsidRDefault="003D2B57">
            <w:pPr>
              <w:rPr>
                <w:rFonts w:ascii="Times New Roman" w:hAnsi="Times New Roman" w:cs="Times New Roman"/>
                <w:sz w:val="24"/>
                <w:szCs w:val="24"/>
              </w:rPr>
            </w:pPr>
          </w:p>
        </w:tc>
        <w:tc>
          <w:tcPr>
            <w:tcW w:w="1933" w:type="pct"/>
            <w:tcBorders>
              <w:bottom w:val="single" w:sz="12" w:space="0" w:color="FF0000"/>
            </w:tcBorders>
            <w:shd w:val="clear" w:color="auto" w:fill="FDE9D9" w:themeFill="accent6" w:themeFillTint="33"/>
          </w:tcPr>
          <w:p w:rsidR="003D2B57" w:rsidRPr="00584315" w:rsidRDefault="002A33D4" w:rsidP="002A33D4">
            <w:pPr>
              <w:rPr>
                <w:rFonts w:ascii="Times New Roman" w:hAnsi="Times New Roman" w:cs="Times New Roman"/>
                <w:sz w:val="24"/>
                <w:szCs w:val="24"/>
              </w:rPr>
            </w:pPr>
            <w:r w:rsidRPr="00584315">
              <w:rPr>
                <w:rFonts w:ascii="Times New Roman" w:hAnsi="Times New Roman" w:cs="Times New Roman"/>
                <w:color w:val="000000"/>
                <w:sz w:val="24"/>
                <w:szCs w:val="24"/>
              </w:rPr>
              <w:t>lengvas neįgalumas</w:t>
            </w:r>
            <w:r w:rsidR="003D2B57" w:rsidRPr="00584315">
              <w:rPr>
                <w:rFonts w:ascii="Times New Roman" w:hAnsi="Times New Roman" w:cs="Times New Roman"/>
                <w:color w:val="000000"/>
                <w:sz w:val="24"/>
                <w:szCs w:val="24"/>
              </w:rPr>
              <w:t xml:space="preserve"> – </w:t>
            </w:r>
            <w:r w:rsidRPr="005B7990">
              <w:rPr>
                <w:rFonts w:ascii="Times New Roman" w:hAnsi="Times New Roman" w:cs="Times New Roman"/>
                <w:b/>
                <w:sz w:val="24"/>
                <w:szCs w:val="24"/>
              </w:rPr>
              <w:t>112,00</w:t>
            </w:r>
            <w:r w:rsidRPr="00584315">
              <w:rPr>
                <w:rFonts w:ascii="Times New Roman" w:hAnsi="Times New Roman" w:cs="Times New Roman"/>
                <w:b/>
                <w:bCs/>
                <w:sz w:val="24"/>
                <w:szCs w:val="24"/>
              </w:rPr>
              <w:t> Eur (</w:t>
            </w:r>
            <w:r w:rsidR="003D2B57" w:rsidRPr="00584315">
              <w:rPr>
                <w:rFonts w:ascii="Times New Roman" w:hAnsi="Times New Roman" w:cs="Times New Roman"/>
                <w:color w:val="000000"/>
                <w:sz w:val="24"/>
                <w:szCs w:val="24"/>
              </w:rPr>
              <w:t>1 ŠPB</w:t>
            </w:r>
            <w:r w:rsidRPr="00584315">
              <w:rPr>
                <w:rFonts w:ascii="Times New Roman" w:hAnsi="Times New Roman" w:cs="Times New Roman"/>
                <w:color w:val="000000"/>
                <w:sz w:val="24"/>
                <w:szCs w:val="24"/>
              </w:rPr>
              <w:t>)</w:t>
            </w:r>
            <w:r w:rsidR="003D2B57" w:rsidRPr="00584315">
              <w:rPr>
                <w:rFonts w:ascii="Times New Roman" w:hAnsi="Times New Roman" w:cs="Times New Roman"/>
                <w:color w:val="000000"/>
                <w:sz w:val="24"/>
                <w:szCs w:val="24"/>
              </w:rPr>
              <w:t>.</w:t>
            </w:r>
          </w:p>
        </w:tc>
        <w:tc>
          <w:tcPr>
            <w:tcW w:w="1720" w:type="pct"/>
            <w:tcBorders>
              <w:bottom w:val="single" w:sz="12" w:space="0" w:color="FF0000"/>
              <w:right w:val="single" w:sz="12" w:space="0" w:color="FF0000"/>
            </w:tcBorders>
            <w:shd w:val="clear" w:color="auto" w:fill="FDE9D9" w:themeFill="accent6" w:themeFillTint="33"/>
          </w:tcPr>
          <w:p w:rsidR="003D2B57" w:rsidRPr="00584315" w:rsidRDefault="003D2B57">
            <w:pPr>
              <w:rPr>
                <w:rFonts w:ascii="Times New Roman" w:hAnsi="Times New Roman" w:cs="Times New Roman"/>
                <w:sz w:val="24"/>
                <w:szCs w:val="24"/>
              </w:rPr>
            </w:pPr>
            <w:r w:rsidRPr="00584315">
              <w:rPr>
                <w:rFonts w:ascii="Times New Roman" w:hAnsi="Times New Roman" w:cs="Times New Roman"/>
                <w:sz w:val="24"/>
                <w:szCs w:val="24"/>
              </w:rPr>
              <w:t>lengvas neįgalumas — </w:t>
            </w:r>
            <w:r w:rsidRPr="00584315">
              <w:rPr>
                <w:rFonts w:ascii="Times New Roman" w:hAnsi="Times New Roman" w:cs="Times New Roman"/>
                <w:b/>
                <w:bCs/>
                <w:sz w:val="24"/>
                <w:szCs w:val="24"/>
              </w:rPr>
              <w:t>112,00</w:t>
            </w:r>
            <w:r w:rsidRPr="00584315">
              <w:rPr>
                <w:rFonts w:ascii="Times New Roman" w:hAnsi="Times New Roman" w:cs="Times New Roman"/>
                <w:sz w:val="24"/>
                <w:szCs w:val="24"/>
              </w:rPr>
              <w:t> </w:t>
            </w:r>
            <w:r w:rsidRPr="005B7990">
              <w:rPr>
                <w:rFonts w:ascii="Times New Roman" w:hAnsi="Times New Roman" w:cs="Times New Roman"/>
                <w:b/>
                <w:sz w:val="24"/>
                <w:szCs w:val="24"/>
              </w:rPr>
              <w:t>Eur</w:t>
            </w:r>
            <w:r w:rsidRPr="00584315">
              <w:rPr>
                <w:rFonts w:ascii="Times New Roman" w:hAnsi="Times New Roman" w:cs="Times New Roman"/>
                <w:sz w:val="24"/>
                <w:szCs w:val="24"/>
              </w:rPr>
              <w:t xml:space="preserve"> (1 BPD)</w:t>
            </w:r>
          </w:p>
        </w:tc>
      </w:tr>
      <w:tr w:rsidR="003D2B57" w:rsidRPr="002A33D4" w:rsidTr="00584315">
        <w:tc>
          <w:tcPr>
            <w:tcW w:w="1347" w:type="pct"/>
            <w:vMerge w:val="restart"/>
            <w:tcBorders>
              <w:top w:val="single" w:sz="12" w:space="0" w:color="FF0000"/>
              <w:left w:val="single" w:sz="12" w:space="0" w:color="FF0000"/>
              <w:bottom w:val="single" w:sz="12" w:space="0" w:color="FF0000"/>
            </w:tcBorders>
            <w:shd w:val="clear" w:color="auto" w:fill="EAF1DD" w:themeFill="accent3" w:themeFillTint="33"/>
          </w:tcPr>
          <w:p w:rsidR="003D2B57" w:rsidRPr="002A33D4" w:rsidRDefault="00584315">
            <w:pPr>
              <w:rPr>
                <w:rFonts w:ascii="Times New Roman" w:hAnsi="Times New Roman" w:cs="Times New Roman"/>
                <w:sz w:val="24"/>
                <w:szCs w:val="24"/>
              </w:rPr>
            </w:pPr>
            <w:r>
              <w:rPr>
                <w:rFonts w:ascii="Times New Roman" w:hAnsi="Times New Roman" w:cs="Times New Roman"/>
                <w:color w:val="000000"/>
                <w:sz w:val="24"/>
                <w:szCs w:val="24"/>
              </w:rPr>
              <w:t>A</w:t>
            </w:r>
            <w:r w:rsidR="003D2B57" w:rsidRPr="002A33D4">
              <w:rPr>
                <w:rFonts w:ascii="Times New Roman" w:hAnsi="Times New Roman" w:cs="Times New Roman"/>
                <w:color w:val="000000"/>
                <w:sz w:val="24"/>
                <w:szCs w:val="24"/>
              </w:rPr>
              <w:t>smenys, pripažinti nedarbingais ar iš dalies darbingais iki dienos (įskaitytinai), kurią jiems sukanka 24 metai, taip pat asmenys, kurie dėl ligos ar traumos, atsiradusios iki jiems sukako 24 metai, padarinių nedarbingais ar iš dalies darbingais pripažinti po 24 metų sukakties dienos, tačiau ne vėliau kaip iki dienos (įskaitytinai), kurią jiems sukanka 26 metai;</w:t>
            </w:r>
          </w:p>
        </w:tc>
        <w:tc>
          <w:tcPr>
            <w:tcW w:w="1933" w:type="pct"/>
            <w:tcBorders>
              <w:top w:val="single" w:sz="12" w:space="0" w:color="FF0000"/>
            </w:tcBorders>
            <w:shd w:val="clear" w:color="auto" w:fill="EAF1DD" w:themeFill="accent3" w:themeFillTint="33"/>
          </w:tcPr>
          <w:p w:rsidR="003D2B57" w:rsidRPr="00584315" w:rsidRDefault="002A33D4" w:rsidP="002A33D4">
            <w:pPr>
              <w:rPr>
                <w:rFonts w:ascii="Times New Roman" w:hAnsi="Times New Roman" w:cs="Times New Roman"/>
                <w:sz w:val="24"/>
                <w:szCs w:val="24"/>
              </w:rPr>
            </w:pPr>
            <w:r w:rsidRPr="00584315">
              <w:rPr>
                <w:rFonts w:ascii="Times New Roman" w:hAnsi="Times New Roman" w:cs="Times New Roman"/>
                <w:color w:val="000000"/>
                <w:sz w:val="24"/>
                <w:szCs w:val="24"/>
              </w:rPr>
              <w:t>netekusiems 100 % darbingumo</w:t>
            </w:r>
            <w:r w:rsidR="003D2B57" w:rsidRPr="00584315">
              <w:rPr>
                <w:rFonts w:ascii="Times New Roman" w:hAnsi="Times New Roman" w:cs="Times New Roman"/>
                <w:color w:val="000000"/>
                <w:sz w:val="24"/>
                <w:szCs w:val="24"/>
              </w:rPr>
              <w:t xml:space="preserve"> – </w:t>
            </w:r>
            <w:r w:rsidRPr="00584315">
              <w:rPr>
                <w:rFonts w:ascii="Times New Roman" w:hAnsi="Times New Roman" w:cs="Times New Roman"/>
                <w:b/>
                <w:color w:val="000000"/>
                <w:sz w:val="24"/>
                <w:szCs w:val="24"/>
              </w:rPr>
              <w:t>252</w:t>
            </w:r>
            <w:r w:rsidR="005B7990">
              <w:rPr>
                <w:rFonts w:ascii="Times New Roman" w:hAnsi="Times New Roman" w:cs="Times New Roman"/>
                <w:b/>
                <w:color w:val="000000"/>
                <w:sz w:val="24"/>
                <w:szCs w:val="24"/>
              </w:rPr>
              <w:t>,00</w:t>
            </w:r>
            <w:r w:rsidRPr="00584315">
              <w:rPr>
                <w:rFonts w:ascii="Times New Roman" w:hAnsi="Times New Roman" w:cs="Times New Roman"/>
                <w:b/>
                <w:color w:val="000000"/>
                <w:sz w:val="24"/>
                <w:szCs w:val="24"/>
              </w:rPr>
              <w:t xml:space="preserve"> Eur</w:t>
            </w:r>
            <w:r w:rsidRPr="00584315">
              <w:rPr>
                <w:rFonts w:ascii="Times New Roman" w:hAnsi="Times New Roman" w:cs="Times New Roman"/>
                <w:color w:val="000000"/>
                <w:sz w:val="24"/>
                <w:szCs w:val="24"/>
              </w:rPr>
              <w:t xml:space="preserve"> (</w:t>
            </w:r>
            <w:r w:rsidR="003D2B57" w:rsidRPr="00584315">
              <w:rPr>
                <w:rFonts w:ascii="Times New Roman" w:hAnsi="Times New Roman" w:cs="Times New Roman"/>
                <w:color w:val="000000"/>
                <w:sz w:val="24"/>
                <w:szCs w:val="24"/>
              </w:rPr>
              <w:t>2,25 ŠPB</w:t>
            </w:r>
            <w:r w:rsidRPr="00584315">
              <w:rPr>
                <w:rFonts w:ascii="Times New Roman" w:hAnsi="Times New Roman" w:cs="Times New Roman"/>
                <w:color w:val="000000"/>
                <w:sz w:val="24"/>
                <w:szCs w:val="24"/>
              </w:rPr>
              <w:t>)</w:t>
            </w:r>
            <w:r w:rsidR="003D2B57" w:rsidRPr="00584315">
              <w:rPr>
                <w:rFonts w:ascii="Times New Roman" w:hAnsi="Times New Roman" w:cs="Times New Roman"/>
                <w:color w:val="000000"/>
                <w:sz w:val="24"/>
                <w:szCs w:val="24"/>
              </w:rPr>
              <w:t xml:space="preserve"> </w:t>
            </w:r>
          </w:p>
        </w:tc>
        <w:tc>
          <w:tcPr>
            <w:tcW w:w="1720" w:type="pct"/>
            <w:vMerge w:val="restart"/>
            <w:tcBorders>
              <w:top w:val="single" w:sz="12" w:space="0" w:color="FF0000"/>
              <w:right w:val="single" w:sz="12" w:space="0" w:color="FF0000"/>
            </w:tcBorders>
            <w:shd w:val="clear" w:color="auto" w:fill="EAF1DD" w:themeFill="accent3" w:themeFillTint="33"/>
          </w:tcPr>
          <w:p w:rsidR="003D2B57" w:rsidRPr="005B7990" w:rsidRDefault="003D2B57">
            <w:pPr>
              <w:rPr>
                <w:rFonts w:ascii="Times New Roman" w:hAnsi="Times New Roman" w:cs="Times New Roman"/>
                <w:sz w:val="24"/>
                <w:szCs w:val="24"/>
              </w:rPr>
            </w:pPr>
            <w:r w:rsidRPr="005B7990">
              <w:rPr>
                <w:rFonts w:ascii="Times New Roman" w:hAnsi="Times New Roman" w:cs="Times New Roman"/>
                <w:color w:val="000000"/>
                <w:sz w:val="24"/>
                <w:szCs w:val="24"/>
              </w:rPr>
              <w:t xml:space="preserve">netekus 75-100 </w:t>
            </w:r>
            <w:r w:rsidR="00584315" w:rsidRPr="005B7990">
              <w:rPr>
                <w:rFonts w:ascii="Times New Roman" w:hAnsi="Times New Roman" w:cs="Times New Roman"/>
                <w:color w:val="000000"/>
                <w:sz w:val="24"/>
                <w:szCs w:val="24"/>
              </w:rPr>
              <w:t>%</w:t>
            </w:r>
            <w:r w:rsidRPr="005B7990">
              <w:rPr>
                <w:rFonts w:ascii="Times New Roman" w:hAnsi="Times New Roman" w:cs="Times New Roman"/>
                <w:color w:val="000000"/>
                <w:sz w:val="24"/>
                <w:szCs w:val="24"/>
              </w:rPr>
              <w:t xml:space="preserve"> darbingumo —</w:t>
            </w:r>
            <w:r w:rsidRPr="005B7990">
              <w:rPr>
                <w:rFonts w:ascii="Times New Roman" w:hAnsi="Times New Roman" w:cs="Times New Roman"/>
                <w:sz w:val="24"/>
                <w:szCs w:val="24"/>
              </w:rPr>
              <w:t> </w:t>
            </w:r>
            <w:r w:rsidRPr="005B7990">
              <w:rPr>
                <w:rFonts w:ascii="Times New Roman" w:hAnsi="Times New Roman" w:cs="Times New Roman"/>
                <w:b/>
                <w:bCs/>
                <w:sz w:val="24"/>
                <w:szCs w:val="24"/>
              </w:rPr>
              <w:t>224,00</w:t>
            </w:r>
            <w:r w:rsidRPr="005B7990">
              <w:rPr>
                <w:rFonts w:ascii="Times New Roman" w:hAnsi="Times New Roman" w:cs="Times New Roman"/>
                <w:b/>
                <w:sz w:val="24"/>
                <w:szCs w:val="24"/>
              </w:rPr>
              <w:t> </w:t>
            </w:r>
            <w:r w:rsidRPr="005B7990">
              <w:rPr>
                <w:rFonts w:ascii="Times New Roman" w:hAnsi="Times New Roman" w:cs="Times New Roman"/>
                <w:b/>
                <w:color w:val="000000"/>
                <w:sz w:val="24"/>
                <w:szCs w:val="24"/>
              </w:rPr>
              <w:t>Eur</w:t>
            </w:r>
            <w:r w:rsidRPr="005B7990">
              <w:rPr>
                <w:rFonts w:ascii="Times New Roman" w:hAnsi="Times New Roman" w:cs="Times New Roman"/>
                <w:color w:val="000000"/>
                <w:sz w:val="24"/>
                <w:szCs w:val="24"/>
              </w:rPr>
              <w:t xml:space="preserve"> (2 BPD)</w:t>
            </w:r>
          </w:p>
        </w:tc>
      </w:tr>
      <w:tr w:rsidR="003D2B57" w:rsidRPr="002A33D4" w:rsidTr="00584315">
        <w:tc>
          <w:tcPr>
            <w:tcW w:w="1347" w:type="pct"/>
            <w:vMerge/>
            <w:tcBorders>
              <w:top w:val="single" w:sz="12" w:space="0" w:color="auto"/>
              <w:left w:val="single" w:sz="12" w:space="0" w:color="FF0000"/>
              <w:bottom w:val="single" w:sz="12" w:space="0" w:color="FF0000"/>
            </w:tcBorders>
            <w:shd w:val="clear" w:color="auto" w:fill="EAF1DD" w:themeFill="accent3" w:themeFillTint="33"/>
          </w:tcPr>
          <w:p w:rsidR="003D2B57" w:rsidRPr="002A33D4" w:rsidRDefault="003D2B57">
            <w:pPr>
              <w:rPr>
                <w:rFonts w:ascii="Times New Roman" w:hAnsi="Times New Roman" w:cs="Times New Roman"/>
                <w:sz w:val="24"/>
                <w:szCs w:val="24"/>
              </w:rPr>
            </w:pPr>
          </w:p>
        </w:tc>
        <w:tc>
          <w:tcPr>
            <w:tcW w:w="1933" w:type="pct"/>
            <w:shd w:val="clear" w:color="auto" w:fill="EAF1DD" w:themeFill="accent3" w:themeFillTint="33"/>
          </w:tcPr>
          <w:p w:rsidR="003D2B57" w:rsidRPr="00584315" w:rsidRDefault="002A33D4" w:rsidP="009F1611">
            <w:pPr>
              <w:rPr>
                <w:rFonts w:ascii="Times New Roman" w:hAnsi="Times New Roman" w:cs="Times New Roman"/>
                <w:sz w:val="24"/>
                <w:szCs w:val="24"/>
              </w:rPr>
            </w:pPr>
            <w:r w:rsidRPr="00584315">
              <w:rPr>
                <w:rFonts w:ascii="Times New Roman" w:hAnsi="Times New Roman" w:cs="Times New Roman"/>
                <w:color w:val="000000"/>
                <w:sz w:val="24"/>
                <w:szCs w:val="24"/>
              </w:rPr>
              <w:t>netekusiems 95 % darbingumo</w:t>
            </w:r>
            <w:r w:rsidR="003D2B57" w:rsidRPr="00584315">
              <w:rPr>
                <w:rFonts w:ascii="Times New Roman" w:hAnsi="Times New Roman" w:cs="Times New Roman"/>
                <w:color w:val="000000"/>
                <w:sz w:val="24"/>
                <w:szCs w:val="24"/>
              </w:rPr>
              <w:t xml:space="preserve"> – </w:t>
            </w:r>
            <w:r w:rsidRPr="00584315">
              <w:rPr>
                <w:rFonts w:ascii="Times New Roman" w:hAnsi="Times New Roman" w:cs="Times New Roman"/>
                <w:b/>
                <w:color w:val="000000"/>
                <w:sz w:val="24"/>
                <w:szCs w:val="24"/>
              </w:rPr>
              <w:t>241,92 Eur</w:t>
            </w:r>
            <w:r w:rsidRPr="00584315">
              <w:rPr>
                <w:rFonts w:ascii="Times New Roman" w:hAnsi="Times New Roman" w:cs="Times New Roman"/>
                <w:color w:val="000000"/>
                <w:sz w:val="24"/>
                <w:szCs w:val="24"/>
              </w:rPr>
              <w:t xml:space="preserve"> (</w:t>
            </w:r>
            <w:r w:rsidR="003D2B57" w:rsidRPr="00584315">
              <w:rPr>
                <w:rFonts w:ascii="Times New Roman" w:hAnsi="Times New Roman" w:cs="Times New Roman"/>
                <w:color w:val="000000"/>
                <w:sz w:val="24"/>
                <w:szCs w:val="24"/>
              </w:rPr>
              <w:t>2,16 ŠPB</w:t>
            </w:r>
            <w:r w:rsidRPr="00584315">
              <w:rPr>
                <w:rFonts w:ascii="Times New Roman" w:hAnsi="Times New Roman" w:cs="Times New Roman"/>
                <w:color w:val="000000"/>
                <w:sz w:val="24"/>
                <w:szCs w:val="24"/>
              </w:rPr>
              <w:t>)</w:t>
            </w:r>
            <w:r w:rsidR="003D2B57" w:rsidRPr="00584315">
              <w:rPr>
                <w:rFonts w:ascii="Times New Roman" w:hAnsi="Times New Roman" w:cs="Times New Roman"/>
                <w:color w:val="000000"/>
                <w:sz w:val="24"/>
                <w:szCs w:val="24"/>
              </w:rPr>
              <w:t xml:space="preserve"> </w:t>
            </w:r>
          </w:p>
        </w:tc>
        <w:tc>
          <w:tcPr>
            <w:tcW w:w="1720" w:type="pct"/>
            <w:vMerge/>
            <w:tcBorders>
              <w:right w:val="single" w:sz="12" w:space="0" w:color="FF0000"/>
            </w:tcBorders>
            <w:shd w:val="clear" w:color="auto" w:fill="EAF1DD" w:themeFill="accent3" w:themeFillTint="33"/>
          </w:tcPr>
          <w:p w:rsidR="003D2B57" w:rsidRPr="005B7990" w:rsidRDefault="003D2B57">
            <w:pPr>
              <w:rPr>
                <w:rFonts w:ascii="Times New Roman" w:hAnsi="Times New Roman" w:cs="Times New Roman"/>
                <w:sz w:val="24"/>
                <w:szCs w:val="24"/>
              </w:rPr>
            </w:pPr>
          </w:p>
        </w:tc>
      </w:tr>
      <w:tr w:rsidR="003D2B57" w:rsidRPr="002A33D4" w:rsidTr="00584315">
        <w:tc>
          <w:tcPr>
            <w:tcW w:w="1347" w:type="pct"/>
            <w:vMerge/>
            <w:tcBorders>
              <w:top w:val="single" w:sz="12" w:space="0" w:color="auto"/>
              <w:left w:val="single" w:sz="12" w:space="0" w:color="FF0000"/>
              <w:bottom w:val="single" w:sz="12" w:space="0" w:color="FF0000"/>
            </w:tcBorders>
            <w:shd w:val="clear" w:color="auto" w:fill="EAF1DD" w:themeFill="accent3" w:themeFillTint="33"/>
          </w:tcPr>
          <w:p w:rsidR="003D2B57" w:rsidRPr="002A33D4" w:rsidRDefault="003D2B57">
            <w:pPr>
              <w:rPr>
                <w:rFonts w:ascii="Times New Roman" w:hAnsi="Times New Roman" w:cs="Times New Roman"/>
                <w:sz w:val="24"/>
                <w:szCs w:val="24"/>
              </w:rPr>
            </w:pPr>
          </w:p>
        </w:tc>
        <w:tc>
          <w:tcPr>
            <w:tcW w:w="1933" w:type="pct"/>
            <w:shd w:val="clear" w:color="auto" w:fill="EAF1DD" w:themeFill="accent3" w:themeFillTint="33"/>
          </w:tcPr>
          <w:p w:rsidR="003D2B57" w:rsidRPr="00584315" w:rsidRDefault="002A33D4" w:rsidP="009F1611">
            <w:pPr>
              <w:rPr>
                <w:rFonts w:ascii="Times New Roman" w:hAnsi="Times New Roman" w:cs="Times New Roman"/>
                <w:sz w:val="24"/>
                <w:szCs w:val="24"/>
              </w:rPr>
            </w:pPr>
            <w:r w:rsidRPr="00584315">
              <w:rPr>
                <w:rFonts w:ascii="Times New Roman" w:hAnsi="Times New Roman" w:cs="Times New Roman"/>
                <w:color w:val="000000"/>
                <w:sz w:val="24"/>
                <w:szCs w:val="24"/>
              </w:rPr>
              <w:t>netekusiems 90 % darbingumo</w:t>
            </w:r>
            <w:r w:rsidR="003D2B57" w:rsidRPr="00584315">
              <w:rPr>
                <w:rFonts w:ascii="Times New Roman" w:hAnsi="Times New Roman" w:cs="Times New Roman"/>
                <w:color w:val="000000"/>
                <w:sz w:val="24"/>
                <w:szCs w:val="24"/>
              </w:rPr>
              <w:t xml:space="preserve"> – </w:t>
            </w:r>
            <w:r w:rsidRPr="00584315">
              <w:rPr>
                <w:rFonts w:ascii="Times New Roman" w:hAnsi="Times New Roman" w:cs="Times New Roman"/>
                <w:b/>
                <w:color w:val="000000"/>
                <w:sz w:val="24"/>
                <w:szCs w:val="24"/>
              </w:rPr>
              <w:t>232,96 Eur</w:t>
            </w:r>
            <w:r w:rsidRPr="00584315">
              <w:rPr>
                <w:rFonts w:ascii="Times New Roman" w:hAnsi="Times New Roman" w:cs="Times New Roman"/>
                <w:color w:val="000000"/>
                <w:sz w:val="24"/>
                <w:szCs w:val="24"/>
              </w:rPr>
              <w:t xml:space="preserve"> (</w:t>
            </w:r>
            <w:r w:rsidR="003D2B57" w:rsidRPr="00584315">
              <w:rPr>
                <w:rFonts w:ascii="Times New Roman" w:hAnsi="Times New Roman" w:cs="Times New Roman"/>
                <w:color w:val="000000"/>
                <w:sz w:val="24"/>
                <w:szCs w:val="24"/>
              </w:rPr>
              <w:t>2,08 ŠPB</w:t>
            </w:r>
            <w:r w:rsidRPr="00584315">
              <w:rPr>
                <w:rFonts w:ascii="Times New Roman" w:hAnsi="Times New Roman" w:cs="Times New Roman"/>
                <w:color w:val="000000"/>
                <w:sz w:val="24"/>
                <w:szCs w:val="24"/>
              </w:rPr>
              <w:t>)</w:t>
            </w:r>
            <w:r w:rsidR="003D2B57" w:rsidRPr="00584315">
              <w:rPr>
                <w:rFonts w:ascii="Times New Roman" w:hAnsi="Times New Roman" w:cs="Times New Roman"/>
                <w:color w:val="000000"/>
                <w:sz w:val="24"/>
                <w:szCs w:val="24"/>
              </w:rPr>
              <w:t xml:space="preserve"> </w:t>
            </w:r>
          </w:p>
        </w:tc>
        <w:tc>
          <w:tcPr>
            <w:tcW w:w="1720" w:type="pct"/>
            <w:vMerge/>
            <w:tcBorders>
              <w:right w:val="single" w:sz="12" w:space="0" w:color="FF0000"/>
            </w:tcBorders>
            <w:shd w:val="clear" w:color="auto" w:fill="EAF1DD" w:themeFill="accent3" w:themeFillTint="33"/>
          </w:tcPr>
          <w:p w:rsidR="003D2B57" w:rsidRPr="005B7990" w:rsidRDefault="003D2B57">
            <w:pPr>
              <w:rPr>
                <w:rFonts w:ascii="Times New Roman" w:hAnsi="Times New Roman" w:cs="Times New Roman"/>
                <w:sz w:val="24"/>
                <w:szCs w:val="24"/>
              </w:rPr>
            </w:pPr>
          </w:p>
        </w:tc>
      </w:tr>
      <w:tr w:rsidR="003D2B57" w:rsidRPr="002A33D4" w:rsidTr="00584315">
        <w:tc>
          <w:tcPr>
            <w:tcW w:w="1347" w:type="pct"/>
            <w:vMerge/>
            <w:tcBorders>
              <w:top w:val="single" w:sz="12" w:space="0" w:color="auto"/>
              <w:left w:val="single" w:sz="12" w:space="0" w:color="FF0000"/>
              <w:bottom w:val="single" w:sz="12" w:space="0" w:color="FF0000"/>
            </w:tcBorders>
            <w:shd w:val="clear" w:color="auto" w:fill="EAF1DD" w:themeFill="accent3" w:themeFillTint="33"/>
          </w:tcPr>
          <w:p w:rsidR="003D2B57" w:rsidRPr="002A33D4" w:rsidRDefault="003D2B57">
            <w:pPr>
              <w:rPr>
                <w:rFonts w:ascii="Times New Roman" w:hAnsi="Times New Roman" w:cs="Times New Roman"/>
                <w:sz w:val="24"/>
                <w:szCs w:val="24"/>
              </w:rPr>
            </w:pPr>
          </w:p>
        </w:tc>
        <w:tc>
          <w:tcPr>
            <w:tcW w:w="1933" w:type="pct"/>
            <w:shd w:val="clear" w:color="auto" w:fill="EAF1DD" w:themeFill="accent3" w:themeFillTint="33"/>
          </w:tcPr>
          <w:p w:rsidR="003D2B57" w:rsidRPr="00584315" w:rsidRDefault="002A33D4" w:rsidP="009F1611">
            <w:pPr>
              <w:rPr>
                <w:rFonts w:ascii="Times New Roman" w:hAnsi="Times New Roman" w:cs="Times New Roman"/>
                <w:sz w:val="24"/>
                <w:szCs w:val="24"/>
              </w:rPr>
            </w:pPr>
            <w:r w:rsidRPr="00584315">
              <w:rPr>
                <w:rFonts w:ascii="Times New Roman" w:hAnsi="Times New Roman" w:cs="Times New Roman"/>
                <w:color w:val="000000"/>
                <w:sz w:val="24"/>
                <w:szCs w:val="24"/>
              </w:rPr>
              <w:t>netekusiems 85 % darbingumo</w:t>
            </w:r>
            <w:r w:rsidR="003D2B57" w:rsidRPr="00584315">
              <w:rPr>
                <w:rFonts w:ascii="Times New Roman" w:hAnsi="Times New Roman" w:cs="Times New Roman"/>
                <w:color w:val="000000"/>
                <w:sz w:val="24"/>
                <w:szCs w:val="24"/>
              </w:rPr>
              <w:t xml:space="preserve"> – </w:t>
            </w:r>
            <w:r w:rsidRPr="00584315">
              <w:rPr>
                <w:rFonts w:ascii="Times New Roman" w:hAnsi="Times New Roman" w:cs="Times New Roman"/>
                <w:b/>
                <w:color w:val="000000"/>
                <w:sz w:val="24"/>
                <w:szCs w:val="24"/>
              </w:rPr>
              <w:t xml:space="preserve">224,00 </w:t>
            </w:r>
            <w:r w:rsidR="00584315" w:rsidRPr="00584315">
              <w:rPr>
                <w:rFonts w:ascii="Times New Roman" w:hAnsi="Times New Roman" w:cs="Times New Roman"/>
                <w:b/>
                <w:color w:val="000000"/>
                <w:sz w:val="24"/>
                <w:szCs w:val="24"/>
              </w:rPr>
              <w:t>Eur</w:t>
            </w:r>
            <w:r w:rsidRPr="00584315">
              <w:rPr>
                <w:rFonts w:ascii="Times New Roman" w:hAnsi="Times New Roman" w:cs="Times New Roman"/>
                <w:color w:val="000000"/>
                <w:sz w:val="24"/>
                <w:szCs w:val="24"/>
              </w:rPr>
              <w:t xml:space="preserve"> (</w:t>
            </w:r>
            <w:r w:rsidR="003D2B57" w:rsidRPr="00584315">
              <w:rPr>
                <w:rFonts w:ascii="Times New Roman" w:hAnsi="Times New Roman" w:cs="Times New Roman"/>
                <w:color w:val="000000"/>
                <w:sz w:val="24"/>
                <w:szCs w:val="24"/>
              </w:rPr>
              <w:t>2 ŠPB</w:t>
            </w:r>
            <w:r w:rsidRPr="00584315">
              <w:rPr>
                <w:rFonts w:ascii="Times New Roman" w:hAnsi="Times New Roman" w:cs="Times New Roman"/>
                <w:color w:val="000000"/>
                <w:sz w:val="24"/>
                <w:szCs w:val="24"/>
              </w:rPr>
              <w:t>)</w:t>
            </w:r>
            <w:r w:rsidR="003D2B57" w:rsidRPr="00584315">
              <w:rPr>
                <w:rFonts w:ascii="Times New Roman" w:hAnsi="Times New Roman" w:cs="Times New Roman"/>
                <w:color w:val="000000"/>
                <w:sz w:val="24"/>
                <w:szCs w:val="24"/>
              </w:rPr>
              <w:t xml:space="preserve"> </w:t>
            </w:r>
          </w:p>
        </w:tc>
        <w:tc>
          <w:tcPr>
            <w:tcW w:w="1720" w:type="pct"/>
            <w:vMerge/>
            <w:tcBorders>
              <w:right w:val="single" w:sz="12" w:space="0" w:color="FF0000"/>
            </w:tcBorders>
            <w:shd w:val="clear" w:color="auto" w:fill="EAF1DD" w:themeFill="accent3" w:themeFillTint="33"/>
          </w:tcPr>
          <w:p w:rsidR="003D2B57" w:rsidRPr="005B7990" w:rsidRDefault="003D2B57">
            <w:pPr>
              <w:rPr>
                <w:rFonts w:ascii="Times New Roman" w:hAnsi="Times New Roman" w:cs="Times New Roman"/>
                <w:sz w:val="24"/>
                <w:szCs w:val="24"/>
              </w:rPr>
            </w:pPr>
          </w:p>
        </w:tc>
      </w:tr>
      <w:tr w:rsidR="003D2B57" w:rsidRPr="002A33D4" w:rsidTr="00584315">
        <w:tc>
          <w:tcPr>
            <w:tcW w:w="1347" w:type="pct"/>
            <w:vMerge/>
            <w:tcBorders>
              <w:top w:val="single" w:sz="12" w:space="0" w:color="auto"/>
              <w:left w:val="single" w:sz="12" w:space="0" w:color="FF0000"/>
              <w:bottom w:val="single" w:sz="12" w:space="0" w:color="FF0000"/>
            </w:tcBorders>
            <w:shd w:val="clear" w:color="auto" w:fill="EAF1DD" w:themeFill="accent3" w:themeFillTint="33"/>
          </w:tcPr>
          <w:p w:rsidR="003D2B57" w:rsidRPr="002A33D4" w:rsidRDefault="003D2B57">
            <w:pPr>
              <w:rPr>
                <w:rFonts w:ascii="Times New Roman" w:hAnsi="Times New Roman" w:cs="Times New Roman"/>
                <w:sz w:val="24"/>
                <w:szCs w:val="24"/>
              </w:rPr>
            </w:pPr>
          </w:p>
        </w:tc>
        <w:tc>
          <w:tcPr>
            <w:tcW w:w="1933" w:type="pct"/>
            <w:shd w:val="clear" w:color="auto" w:fill="EAF1DD" w:themeFill="accent3" w:themeFillTint="33"/>
          </w:tcPr>
          <w:p w:rsidR="003D2B57" w:rsidRPr="00584315" w:rsidRDefault="002A33D4" w:rsidP="009F1611">
            <w:pPr>
              <w:rPr>
                <w:rFonts w:ascii="Times New Roman" w:hAnsi="Times New Roman" w:cs="Times New Roman"/>
                <w:sz w:val="24"/>
                <w:szCs w:val="24"/>
              </w:rPr>
            </w:pPr>
            <w:r w:rsidRPr="00584315">
              <w:rPr>
                <w:rFonts w:ascii="Times New Roman" w:hAnsi="Times New Roman" w:cs="Times New Roman"/>
                <w:color w:val="000000"/>
                <w:sz w:val="24"/>
                <w:szCs w:val="24"/>
              </w:rPr>
              <w:t>netekusiems 80 % darbingumo</w:t>
            </w:r>
            <w:r w:rsidR="003D2B57" w:rsidRPr="00584315">
              <w:rPr>
                <w:rFonts w:ascii="Times New Roman" w:hAnsi="Times New Roman" w:cs="Times New Roman"/>
                <w:color w:val="000000"/>
                <w:sz w:val="24"/>
                <w:szCs w:val="24"/>
              </w:rPr>
              <w:t xml:space="preserve"> – </w:t>
            </w:r>
            <w:r w:rsidRPr="00584315">
              <w:rPr>
                <w:rFonts w:ascii="Times New Roman" w:hAnsi="Times New Roman" w:cs="Times New Roman"/>
                <w:b/>
                <w:color w:val="000000"/>
                <w:sz w:val="24"/>
                <w:szCs w:val="24"/>
              </w:rPr>
              <w:t>213,92 Eur</w:t>
            </w:r>
            <w:r w:rsidRPr="00584315">
              <w:rPr>
                <w:rFonts w:ascii="Times New Roman" w:hAnsi="Times New Roman" w:cs="Times New Roman"/>
                <w:color w:val="000000"/>
                <w:sz w:val="24"/>
                <w:szCs w:val="24"/>
              </w:rPr>
              <w:t xml:space="preserve"> (</w:t>
            </w:r>
            <w:r w:rsidR="003D2B57" w:rsidRPr="00584315">
              <w:rPr>
                <w:rFonts w:ascii="Times New Roman" w:hAnsi="Times New Roman" w:cs="Times New Roman"/>
                <w:color w:val="000000"/>
                <w:sz w:val="24"/>
                <w:szCs w:val="24"/>
              </w:rPr>
              <w:t>1,91 ŠPB</w:t>
            </w:r>
            <w:r w:rsidRPr="00584315">
              <w:rPr>
                <w:rFonts w:ascii="Times New Roman" w:hAnsi="Times New Roman" w:cs="Times New Roman"/>
                <w:color w:val="000000"/>
                <w:sz w:val="24"/>
                <w:szCs w:val="24"/>
              </w:rPr>
              <w:t>)</w:t>
            </w:r>
            <w:r w:rsidR="003D2B57" w:rsidRPr="00584315">
              <w:rPr>
                <w:rFonts w:ascii="Times New Roman" w:hAnsi="Times New Roman" w:cs="Times New Roman"/>
                <w:color w:val="000000"/>
                <w:sz w:val="24"/>
                <w:szCs w:val="24"/>
              </w:rPr>
              <w:t xml:space="preserve"> </w:t>
            </w:r>
          </w:p>
        </w:tc>
        <w:tc>
          <w:tcPr>
            <w:tcW w:w="1720" w:type="pct"/>
            <w:vMerge/>
            <w:tcBorders>
              <w:right w:val="single" w:sz="12" w:space="0" w:color="FF0000"/>
            </w:tcBorders>
            <w:shd w:val="clear" w:color="auto" w:fill="EAF1DD" w:themeFill="accent3" w:themeFillTint="33"/>
          </w:tcPr>
          <w:p w:rsidR="003D2B57" w:rsidRPr="005B7990" w:rsidRDefault="003D2B57">
            <w:pPr>
              <w:rPr>
                <w:rFonts w:ascii="Times New Roman" w:hAnsi="Times New Roman" w:cs="Times New Roman"/>
                <w:sz w:val="24"/>
                <w:szCs w:val="24"/>
              </w:rPr>
            </w:pPr>
          </w:p>
        </w:tc>
      </w:tr>
      <w:tr w:rsidR="003D2B57" w:rsidRPr="002A33D4" w:rsidTr="00584315">
        <w:tc>
          <w:tcPr>
            <w:tcW w:w="1347" w:type="pct"/>
            <w:vMerge/>
            <w:tcBorders>
              <w:top w:val="single" w:sz="12" w:space="0" w:color="auto"/>
              <w:left w:val="single" w:sz="12" w:space="0" w:color="FF0000"/>
              <w:bottom w:val="single" w:sz="12" w:space="0" w:color="FF0000"/>
            </w:tcBorders>
            <w:shd w:val="clear" w:color="auto" w:fill="EAF1DD" w:themeFill="accent3" w:themeFillTint="33"/>
          </w:tcPr>
          <w:p w:rsidR="003D2B57" w:rsidRPr="002A33D4" w:rsidRDefault="003D2B57">
            <w:pPr>
              <w:rPr>
                <w:rFonts w:ascii="Times New Roman" w:hAnsi="Times New Roman" w:cs="Times New Roman"/>
                <w:sz w:val="24"/>
                <w:szCs w:val="24"/>
              </w:rPr>
            </w:pPr>
          </w:p>
        </w:tc>
        <w:tc>
          <w:tcPr>
            <w:tcW w:w="1933" w:type="pct"/>
            <w:tcBorders>
              <w:bottom w:val="single" w:sz="8" w:space="0" w:color="auto"/>
            </w:tcBorders>
            <w:shd w:val="clear" w:color="auto" w:fill="EAF1DD" w:themeFill="accent3" w:themeFillTint="33"/>
          </w:tcPr>
          <w:p w:rsidR="003D2B57" w:rsidRPr="00584315" w:rsidRDefault="003D2B57" w:rsidP="009F1611">
            <w:pPr>
              <w:rPr>
                <w:rFonts w:ascii="Times New Roman" w:hAnsi="Times New Roman" w:cs="Times New Roman"/>
                <w:sz w:val="24"/>
                <w:szCs w:val="24"/>
              </w:rPr>
            </w:pPr>
            <w:r w:rsidRPr="00584315">
              <w:rPr>
                <w:rFonts w:ascii="Times New Roman" w:hAnsi="Times New Roman" w:cs="Times New Roman"/>
                <w:color w:val="000000"/>
                <w:sz w:val="24"/>
                <w:szCs w:val="24"/>
              </w:rPr>
              <w:t>netekusiems 75 %</w:t>
            </w:r>
            <w:r w:rsidR="002A33D4" w:rsidRPr="00584315">
              <w:rPr>
                <w:rFonts w:ascii="Times New Roman" w:hAnsi="Times New Roman" w:cs="Times New Roman"/>
                <w:color w:val="000000"/>
                <w:sz w:val="24"/>
                <w:szCs w:val="24"/>
              </w:rPr>
              <w:t xml:space="preserve"> darbingumo</w:t>
            </w:r>
            <w:r w:rsidRPr="00584315">
              <w:rPr>
                <w:rFonts w:ascii="Times New Roman" w:hAnsi="Times New Roman" w:cs="Times New Roman"/>
                <w:color w:val="000000"/>
                <w:sz w:val="24"/>
                <w:szCs w:val="24"/>
              </w:rPr>
              <w:t xml:space="preserve"> – </w:t>
            </w:r>
            <w:r w:rsidR="002A33D4" w:rsidRPr="00584315">
              <w:rPr>
                <w:rFonts w:ascii="Times New Roman" w:hAnsi="Times New Roman" w:cs="Times New Roman"/>
                <w:b/>
                <w:color w:val="000000"/>
                <w:sz w:val="24"/>
                <w:szCs w:val="24"/>
              </w:rPr>
              <w:t>203,84 Eur</w:t>
            </w:r>
            <w:r w:rsidR="002A33D4" w:rsidRPr="00584315">
              <w:rPr>
                <w:rFonts w:ascii="Times New Roman" w:hAnsi="Times New Roman" w:cs="Times New Roman"/>
                <w:color w:val="000000"/>
                <w:sz w:val="24"/>
                <w:szCs w:val="24"/>
              </w:rPr>
              <w:t xml:space="preserve"> (</w:t>
            </w:r>
            <w:r w:rsidRPr="00584315">
              <w:rPr>
                <w:rFonts w:ascii="Times New Roman" w:hAnsi="Times New Roman" w:cs="Times New Roman"/>
                <w:color w:val="000000"/>
                <w:sz w:val="24"/>
                <w:szCs w:val="24"/>
              </w:rPr>
              <w:t>1,82 ŠPB</w:t>
            </w:r>
            <w:r w:rsidR="002A33D4" w:rsidRPr="00584315">
              <w:rPr>
                <w:rFonts w:ascii="Times New Roman" w:hAnsi="Times New Roman" w:cs="Times New Roman"/>
                <w:color w:val="000000"/>
                <w:sz w:val="24"/>
                <w:szCs w:val="24"/>
              </w:rPr>
              <w:t>)</w:t>
            </w:r>
            <w:r w:rsidRPr="00584315">
              <w:rPr>
                <w:rFonts w:ascii="Times New Roman" w:hAnsi="Times New Roman" w:cs="Times New Roman"/>
                <w:color w:val="000000"/>
                <w:sz w:val="24"/>
                <w:szCs w:val="24"/>
              </w:rPr>
              <w:t xml:space="preserve"> </w:t>
            </w:r>
          </w:p>
        </w:tc>
        <w:tc>
          <w:tcPr>
            <w:tcW w:w="1720" w:type="pct"/>
            <w:vMerge/>
            <w:tcBorders>
              <w:bottom w:val="single" w:sz="8" w:space="0" w:color="auto"/>
              <w:right w:val="single" w:sz="12" w:space="0" w:color="FF0000"/>
            </w:tcBorders>
            <w:shd w:val="clear" w:color="auto" w:fill="EAF1DD" w:themeFill="accent3" w:themeFillTint="33"/>
          </w:tcPr>
          <w:p w:rsidR="003D2B57" w:rsidRPr="005B7990" w:rsidRDefault="003D2B57">
            <w:pPr>
              <w:rPr>
                <w:rFonts w:ascii="Times New Roman" w:hAnsi="Times New Roman" w:cs="Times New Roman"/>
                <w:sz w:val="24"/>
                <w:szCs w:val="24"/>
              </w:rPr>
            </w:pPr>
          </w:p>
        </w:tc>
      </w:tr>
      <w:tr w:rsidR="003D2B57" w:rsidRPr="002A33D4" w:rsidTr="005B7990">
        <w:tc>
          <w:tcPr>
            <w:tcW w:w="1347" w:type="pct"/>
            <w:vMerge/>
            <w:tcBorders>
              <w:top w:val="single" w:sz="12" w:space="0" w:color="auto"/>
              <w:left w:val="single" w:sz="12" w:space="0" w:color="FF0000"/>
              <w:bottom w:val="single" w:sz="12" w:space="0" w:color="FF0000"/>
            </w:tcBorders>
            <w:shd w:val="clear" w:color="auto" w:fill="D6E3BC" w:themeFill="accent3" w:themeFillTint="66"/>
          </w:tcPr>
          <w:p w:rsidR="003D2B57" w:rsidRPr="002A33D4" w:rsidRDefault="003D2B57">
            <w:pPr>
              <w:rPr>
                <w:rFonts w:ascii="Times New Roman" w:hAnsi="Times New Roman" w:cs="Times New Roman"/>
                <w:sz w:val="24"/>
                <w:szCs w:val="24"/>
              </w:rPr>
            </w:pPr>
          </w:p>
        </w:tc>
        <w:tc>
          <w:tcPr>
            <w:tcW w:w="1933" w:type="pct"/>
            <w:tcBorders>
              <w:top w:val="single" w:sz="8" w:space="0" w:color="auto"/>
            </w:tcBorders>
            <w:shd w:val="clear" w:color="auto" w:fill="D6E3BC" w:themeFill="accent3" w:themeFillTint="66"/>
          </w:tcPr>
          <w:p w:rsidR="003D2B57" w:rsidRPr="00584315" w:rsidRDefault="003D2B57" w:rsidP="009F1611">
            <w:pPr>
              <w:rPr>
                <w:rFonts w:ascii="Times New Roman" w:hAnsi="Times New Roman" w:cs="Times New Roman"/>
                <w:sz w:val="24"/>
                <w:szCs w:val="24"/>
              </w:rPr>
            </w:pPr>
            <w:r w:rsidRPr="00584315">
              <w:rPr>
                <w:rFonts w:ascii="Times New Roman" w:hAnsi="Times New Roman" w:cs="Times New Roman"/>
                <w:color w:val="000000"/>
                <w:sz w:val="24"/>
                <w:szCs w:val="24"/>
              </w:rPr>
              <w:t>netekusiems 70 %</w:t>
            </w:r>
            <w:r w:rsidR="002A33D4" w:rsidRPr="00584315">
              <w:rPr>
                <w:rFonts w:ascii="Times New Roman" w:hAnsi="Times New Roman" w:cs="Times New Roman"/>
                <w:color w:val="000000"/>
                <w:sz w:val="24"/>
                <w:szCs w:val="24"/>
              </w:rPr>
              <w:t xml:space="preserve"> darbingumo</w:t>
            </w:r>
            <w:r w:rsidRPr="00584315">
              <w:rPr>
                <w:rFonts w:ascii="Times New Roman" w:hAnsi="Times New Roman" w:cs="Times New Roman"/>
                <w:color w:val="000000"/>
                <w:sz w:val="24"/>
                <w:szCs w:val="24"/>
              </w:rPr>
              <w:t xml:space="preserve"> – </w:t>
            </w:r>
            <w:r w:rsidR="002A33D4" w:rsidRPr="00584315">
              <w:rPr>
                <w:rFonts w:ascii="Times New Roman" w:hAnsi="Times New Roman" w:cs="Times New Roman"/>
                <w:b/>
                <w:color w:val="000000"/>
                <w:sz w:val="24"/>
                <w:szCs w:val="24"/>
              </w:rPr>
              <w:t>194,88 Eur</w:t>
            </w:r>
            <w:r w:rsidR="002A33D4" w:rsidRPr="00584315">
              <w:rPr>
                <w:rFonts w:ascii="Times New Roman" w:hAnsi="Times New Roman" w:cs="Times New Roman"/>
                <w:color w:val="000000"/>
                <w:sz w:val="24"/>
                <w:szCs w:val="24"/>
              </w:rPr>
              <w:t xml:space="preserve"> (</w:t>
            </w:r>
            <w:r w:rsidRPr="00584315">
              <w:rPr>
                <w:rFonts w:ascii="Times New Roman" w:hAnsi="Times New Roman" w:cs="Times New Roman"/>
                <w:color w:val="000000"/>
                <w:sz w:val="24"/>
                <w:szCs w:val="24"/>
              </w:rPr>
              <w:t>1,74 ŠPB</w:t>
            </w:r>
            <w:r w:rsidR="002A33D4" w:rsidRPr="00584315">
              <w:rPr>
                <w:rFonts w:ascii="Times New Roman" w:hAnsi="Times New Roman" w:cs="Times New Roman"/>
                <w:color w:val="000000"/>
                <w:sz w:val="24"/>
                <w:szCs w:val="24"/>
              </w:rPr>
              <w:t>)</w:t>
            </w:r>
            <w:r w:rsidRPr="00584315">
              <w:rPr>
                <w:rFonts w:ascii="Times New Roman" w:hAnsi="Times New Roman" w:cs="Times New Roman"/>
                <w:color w:val="000000"/>
                <w:sz w:val="24"/>
                <w:szCs w:val="24"/>
              </w:rPr>
              <w:t xml:space="preserve"> </w:t>
            </w:r>
          </w:p>
        </w:tc>
        <w:tc>
          <w:tcPr>
            <w:tcW w:w="1720" w:type="pct"/>
            <w:vMerge w:val="restart"/>
            <w:tcBorders>
              <w:top w:val="single" w:sz="8" w:space="0" w:color="auto"/>
              <w:right w:val="single" w:sz="12" w:space="0" w:color="FF0000"/>
            </w:tcBorders>
            <w:shd w:val="clear" w:color="auto" w:fill="D6E3BC" w:themeFill="accent3" w:themeFillTint="66"/>
          </w:tcPr>
          <w:p w:rsidR="003D2B57" w:rsidRPr="005B7990" w:rsidRDefault="003D2B57" w:rsidP="00584315">
            <w:pPr>
              <w:rPr>
                <w:rFonts w:ascii="Times New Roman" w:hAnsi="Times New Roman" w:cs="Times New Roman"/>
                <w:sz w:val="24"/>
                <w:szCs w:val="24"/>
              </w:rPr>
            </w:pPr>
            <w:r w:rsidRPr="005B7990">
              <w:rPr>
                <w:rFonts w:ascii="Times New Roman" w:hAnsi="Times New Roman" w:cs="Times New Roman"/>
                <w:color w:val="000000"/>
                <w:sz w:val="24"/>
                <w:szCs w:val="24"/>
              </w:rPr>
              <w:t xml:space="preserve">netekus 60-70 </w:t>
            </w:r>
            <w:r w:rsidR="00584315" w:rsidRPr="005B7990">
              <w:rPr>
                <w:rFonts w:ascii="Times New Roman" w:hAnsi="Times New Roman" w:cs="Times New Roman"/>
                <w:color w:val="000000"/>
                <w:sz w:val="24"/>
                <w:szCs w:val="24"/>
              </w:rPr>
              <w:t>%</w:t>
            </w:r>
            <w:r w:rsidRPr="005B7990">
              <w:rPr>
                <w:rFonts w:ascii="Times New Roman" w:hAnsi="Times New Roman" w:cs="Times New Roman"/>
                <w:color w:val="000000"/>
                <w:sz w:val="24"/>
                <w:szCs w:val="24"/>
              </w:rPr>
              <w:t xml:space="preserve"> darbingumo </w:t>
            </w:r>
            <w:r w:rsidR="00584315" w:rsidRPr="005B7990">
              <w:rPr>
                <w:rFonts w:ascii="Times New Roman" w:hAnsi="Times New Roman" w:cs="Times New Roman"/>
                <w:color w:val="000000"/>
                <w:sz w:val="24"/>
                <w:szCs w:val="24"/>
              </w:rPr>
              <w:t>-</w:t>
            </w:r>
            <w:r w:rsidRPr="005B7990">
              <w:rPr>
                <w:rFonts w:ascii="Times New Roman" w:hAnsi="Times New Roman" w:cs="Times New Roman"/>
                <w:sz w:val="24"/>
                <w:szCs w:val="24"/>
              </w:rPr>
              <w:t> </w:t>
            </w:r>
            <w:r w:rsidRPr="005B7990">
              <w:rPr>
                <w:rFonts w:ascii="Times New Roman" w:hAnsi="Times New Roman" w:cs="Times New Roman"/>
                <w:b/>
                <w:bCs/>
                <w:sz w:val="24"/>
                <w:szCs w:val="24"/>
              </w:rPr>
              <w:t>168,00</w:t>
            </w:r>
            <w:r w:rsidRPr="005B7990">
              <w:rPr>
                <w:rFonts w:ascii="Times New Roman" w:hAnsi="Times New Roman" w:cs="Times New Roman"/>
                <w:sz w:val="24"/>
                <w:szCs w:val="24"/>
              </w:rPr>
              <w:t> </w:t>
            </w:r>
            <w:r w:rsidRPr="005B7990">
              <w:rPr>
                <w:rFonts w:ascii="Times New Roman" w:hAnsi="Times New Roman" w:cs="Times New Roman"/>
                <w:b/>
                <w:color w:val="000000"/>
                <w:sz w:val="24"/>
                <w:szCs w:val="24"/>
              </w:rPr>
              <w:t xml:space="preserve">Eur </w:t>
            </w:r>
            <w:r w:rsidRPr="005B7990">
              <w:rPr>
                <w:rFonts w:ascii="Times New Roman" w:hAnsi="Times New Roman" w:cs="Times New Roman"/>
                <w:color w:val="000000"/>
                <w:sz w:val="24"/>
                <w:szCs w:val="24"/>
              </w:rPr>
              <w:t>(1,5 BPD)</w:t>
            </w:r>
          </w:p>
        </w:tc>
      </w:tr>
      <w:tr w:rsidR="003D2B57" w:rsidRPr="002A33D4" w:rsidTr="005B7990">
        <w:tc>
          <w:tcPr>
            <w:tcW w:w="1347" w:type="pct"/>
            <w:vMerge/>
            <w:tcBorders>
              <w:top w:val="single" w:sz="12" w:space="0" w:color="auto"/>
              <w:left w:val="single" w:sz="12" w:space="0" w:color="FF0000"/>
              <w:bottom w:val="single" w:sz="12" w:space="0" w:color="FF0000"/>
            </w:tcBorders>
            <w:shd w:val="clear" w:color="auto" w:fill="EAF1DD" w:themeFill="accent3" w:themeFillTint="33"/>
          </w:tcPr>
          <w:p w:rsidR="003D2B57" w:rsidRPr="002A33D4" w:rsidRDefault="003D2B57">
            <w:pPr>
              <w:rPr>
                <w:rFonts w:ascii="Times New Roman" w:hAnsi="Times New Roman" w:cs="Times New Roman"/>
                <w:sz w:val="24"/>
                <w:szCs w:val="24"/>
              </w:rPr>
            </w:pPr>
          </w:p>
        </w:tc>
        <w:tc>
          <w:tcPr>
            <w:tcW w:w="1933" w:type="pct"/>
            <w:shd w:val="clear" w:color="auto" w:fill="D6E3BC" w:themeFill="accent3" w:themeFillTint="66"/>
          </w:tcPr>
          <w:p w:rsidR="003D2B57" w:rsidRPr="00584315" w:rsidRDefault="003D2B57" w:rsidP="009F1611">
            <w:pPr>
              <w:rPr>
                <w:rFonts w:ascii="Times New Roman" w:hAnsi="Times New Roman" w:cs="Times New Roman"/>
                <w:sz w:val="24"/>
                <w:szCs w:val="24"/>
              </w:rPr>
            </w:pPr>
            <w:r w:rsidRPr="00584315">
              <w:rPr>
                <w:rFonts w:ascii="Times New Roman" w:hAnsi="Times New Roman" w:cs="Times New Roman"/>
                <w:color w:val="000000"/>
                <w:sz w:val="24"/>
                <w:szCs w:val="24"/>
              </w:rPr>
              <w:t>netekusiems 65 %</w:t>
            </w:r>
            <w:r w:rsidR="002A33D4" w:rsidRPr="00584315">
              <w:rPr>
                <w:rFonts w:ascii="Times New Roman" w:hAnsi="Times New Roman" w:cs="Times New Roman"/>
                <w:color w:val="000000"/>
                <w:sz w:val="24"/>
                <w:szCs w:val="24"/>
              </w:rPr>
              <w:t xml:space="preserve"> darbingumo</w:t>
            </w:r>
            <w:r w:rsidRPr="00584315">
              <w:rPr>
                <w:rFonts w:ascii="Times New Roman" w:hAnsi="Times New Roman" w:cs="Times New Roman"/>
                <w:color w:val="000000"/>
                <w:sz w:val="24"/>
                <w:szCs w:val="24"/>
              </w:rPr>
              <w:t xml:space="preserve"> – </w:t>
            </w:r>
            <w:r w:rsidR="002A33D4" w:rsidRPr="00584315">
              <w:rPr>
                <w:rFonts w:ascii="Times New Roman" w:hAnsi="Times New Roman" w:cs="Times New Roman"/>
                <w:b/>
                <w:color w:val="000000"/>
                <w:sz w:val="24"/>
                <w:szCs w:val="24"/>
              </w:rPr>
              <w:t>184,80 Eur</w:t>
            </w:r>
            <w:r w:rsidR="002A33D4" w:rsidRPr="00584315">
              <w:rPr>
                <w:rFonts w:ascii="Times New Roman" w:hAnsi="Times New Roman" w:cs="Times New Roman"/>
                <w:color w:val="000000"/>
                <w:sz w:val="24"/>
                <w:szCs w:val="24"/>
              </w:rPr>
              <w:t xml:space="preserve"> (</w:t>
            </w:r>
            <w:r w:rsidRPr="00584315">
              <w:rPr>
                <w:rFonts w:ascii="Times New Roman" w:hAnsi="Times New Roman" w:cs="Times New Roman"/>
                <w:color w:val="000000"/>
                <w:sz w:val="24"/>
                <w:szCs w:val="24"/>
              </w:rPr>
              <w:t>1,65 ŠPB</w:t>
            </w:r>
            <w:r w:rsidR="002A33D4" w:rsidRPr="00584315">
              <w:rPr>
                <w:rFonts w:ascii="Times New Roman" w:hAnsi="Times New Roman" w:cs="Times New Roman"/>
                <w:color w:val="000000"/>
                <w:sz w:val="24"/>
                <w:szCs w:val="24"/>
              </w:rPr>
              <w:t>)</w:t>
            </w:r>
            <w:r w:rsidRPr="00584315">
              <w:rPr>
                <w:rFonts w:ascii="Times New Roman" w:hAnsi="Times New Roman" w:cs="Times New Roman"/>
                <w:color w:val="000000"/>
                <w:sz w:val="24"/>
                <w:szCs w:val="24"/>
              </w:rPr>
              <w:t xml:space="preserve"> </w:t>
            </w:r>
          </w:p>
        </w:tc>
        <w:tc>
          <w:tcPr>
            <w:tcW w:w="1720" w:type="pct"/>
            <w:vMerge/>
            <w:tcBorders>
              <w:right w:val="single" w:sz="12" w:space="0" w:color="FF0000"/>
            </w:tcBorders>
          </w:tcPr>
          <w:p w:rsidR="003D2B57" w:rsidRPr="005B7990" w:rsidRDefault="003D2B57">
            <w:pPr>
              <w:rPr>
                <w:rFonts w:ascii="Times New Roman" w:hAnsi="Times New Roman" w:cs="Times New Roman"/>
                <w:sz w:val="24"/>
                <w:szCs w:val="24"/>
              </w:rPr>
            </w:pPr>
          </w:p>
        </w:tc>
      </w:tr>
      <w:tr w:rsidR="003D2B57" w:rsidRPr="002A33D4" w:rsidTr="005B7990">
        <w:tc>
          <w:tcPr>
            <w:tcW w:w="1347" w:type="pct"/>
            <w:vMerge/>
            <w:tcBorders>
              <w:top w:val="single" w:sz="12" w:space="0" w:color="auto"/>
              <w:left w:val="single" w:sz="12" w:space="0" w:color="FF0000"/>
              <w:bottom w:val="single" w:sz="12" w:space="0" w:color="FF0000"/>
            </w:tcBorders>
            <w:shd w:val="clear" w:color="auto" w:fill="EAF1DD" w:themeFill="accent3" w:themeFillTint="33"/>
          </w:tcPr>
          <w:p w:rsidR="003D2B57" w:rsidRPr="002A33D4" w:rsidRDefault="003D2B57">
            <w:pPr>
              <w:rPr>
                <w:rFonts w:ascii="Times New Roman" w:hAnsi="Times New Roman" w:cs="Times New Roman"/>
                <w:sz w:val="24"/>
                <w:szCs w:val="24"/>
              </w:rPr>
            </w:pPr>
          </w:p>
        </w:tc>
        <w:tc>
          <w:tcPr>
            <w:tcW w:w="1933" w:type="pct"/>
            <w:tcBorders>
              <w:bottom w:val="single" w:sz="8" w:space="0" w:color="auto"/>
            </w:tcBorders>
            <w:shd w:val="clear" w:color="auto" w:fill="D6E3BC" w:themeFill="accent3" w:themeFillTint="66"/>
          </w:tcPr>
          <w:p w:rsidR="003D2B57" w:rsidRPr="00584315" w:rsidRDefault="003D2B57" w:rsidP="009F1611">
            <w:pPr>
              <w:rPr>
                <w:rFonts w:ascii="Times New Roman" w:hAnsi="Times New Roman" w:cs="Times New Roman"/>
                <w:sz w:val="24"/>
                <w:szCs w:val="24"/>
              </w:rPr>
            </w:pPr>
            <w:r w:rsidRPr="00584315">
              <w:rPr>
                <w:rFonts w:ascii="Times New Roman" w:hAnsi="Times New Roman" w:cs="Times New Roman"/>
                <w:color w:val="000000"/>
                <w:sz w:val="24"/>
                <w:szCs w:val="24"/>
              </w:rPr>
              <w:t>netekusiems 60 %</w:t>
            </w:r>
            <w:r w:rsidR="002A33D4" w:rsidRPr="00584315">
              <w:rPr>
                <w:rFonts w:ascii="Times New Roman" w:hAnsi="Times New Roman" w:cs="Times New Roman"/>
                <w:color w:val="000000"/>
                <w:sz w:val="24"/>
                <w:szCs w:val="24"/>
              </w:rPr>
              <w:t xml:space="preserve"> darbingumo</w:t>
            </w:r>
            <w:r w:rsidRPr="00584315">
              <w:rPr>
                <w:rFonts w:ascii="Times New Roman" w:hAnsi="Times New Roman" w:cs="Times New Roman"/>
                <w:color w:val="000000"/>
                <w:sz w:val="24"/>
                <w:szCs w:val="24"/>
              </w:rPr>
              <w:t xml:space="preserve"> – </w:t>
            </w:r>
            <w:r w:rsidR="002A33D4" w:rsidRPr="00584315">
              <w:rPr>
                <w:rFonts w:ascii="Times New Roman" w:hAnsi="Times New Roman" w:cs="Times New Roman"/>
                <w:b/>
                <w:color w:val="000000"/>
                <w:sz w:val="24"/>
                <w:szCs w:val="24"/>
              </w:rPr>
              <w:t>160,16 Eur</w:t>
            </w:r>
            <w:r w:rsidR="002A33D4" w:rsidRPr="00584315">
              <w:rPr>
                <w:rFonts w:ascii="Times New Roman" w:hAnsi="Times New Roman" w:cs="Times New Roman"/>
                <w:color w:val="000000"/>
                <w:sz w:val="24"/>
                <w:szCs w:val="24"/>
              </w:rPr>
              <w:t xml:space="preserve"> (</w:t>
            </w:r>
            <w:r w:rsidRPr="00584315">
              <w:rPr>
                <w:rFonts w:ascii="Times New Roman" w:hAnsi="Times New Roman" w:cs="Times New Roman"/>
                <w:color w:val="000000"/>
                <w:sz w:val="24"/>
                <w:szCs w:val="24"/>
              </w:rPr>
              <w:t>1,43 ŠPB</w:t>
            </w:r>
            <w:r w:rsidR="002A33D4" w:rsidRPr="00584315">
              <w:rPr>
                <w:rFonts w:ascii="Times New Roman" w:hAnsi="Times New Roman" w:cs="Times New Roman"/>
                <w:color w:val="000000"/>
                <w:sz w:val="24"/>
                <w:szCs w:val="24"/>
              </w:rPr>
              <w:t>)</w:t>
            </w:r>
            <w:r w:rsidRPr="00584315">
              <w:rPr>
                <w:rFonts w:ascii="Times New Roman" w:hAnsi="Times New Roman" w:cs="Times New Roman"/>
                <w:color w:val="000000"/>
                <w:sz w:val="24"/>
                <w:szCs w:val="24"/>
              </w:rPr>
              <w:t xml:space="preserve"> </w:t>
            </w:r>
          </w:p>
        </w:tc>
        <w:tc>
          <w:tcPr>
            <w:tcW w:w="1720" w:type="pct"/>
            <w:vMerge/>
            <w:tcBorders>
              <w:bottom w:val="single" w:sz="8" w:space="0" w:color="auto"/>
              <w:right w:val="single" w:sz="12" w:space="0" w:color="FF0000"/>
            </w:tcBorders>
          </w:tcPr>
          <w:p w:rsidR="003D2B57" w:rsidRPr="005B7990" w:rsidRDefault="003D2B57">
            <w:pPr>
              <w:rPr>
                <w:rFonts w:ascii="Times New Roman" w:hAnsi="Times New Roman" w:cs="Times New Roman"/>
                <w:sz w:val="24"/>
                <w:szCs w:val="24"/>
              </w:rPr>
            </w:pPr>
          </w:p>
        </w:tc>
      </w:tr>
      <w:tr w:rsidR="003D2B57" w:rsidRPr="002A33D4" w:rsidTr="005B7990">
        <w:tc>
          <w:tcPr>
            <w:tcW w:w="1347" w:type="pct"/>
            <w:vMerge/>
            <w:tcBorders>
              <w:top w:val="single" w:sz="12" w:space="0" w:color="auto"/>
              <w:left w:val="single" w:sz="12" w:space="0" w:color="FF0000"/>
              <w:bottom w:val="single" w:sz="12" w:space="0" w:color="FF0000"/>
            </w:tcBorders>
            <w:shd w:val="clear" w:color="auto" w:fill="EAF1DD" w:themeFill="accent3" w:themeFillTint="33"/>
          </w:tcPr>
          <w:p w:rsidR="003D2B57" w:rsidRPr="002A33D4" w:rsidRDefault="003D2B57">
            <w:pPr>
              <w:rPr>
                <w:rFonts w:ascii="Times New Roman" w:hAnsi="Times New Roman" w:cs="Times New Roman"/>
                <w:sz w:val="24"/>
                <w:szCs w:val="24"/>
              </w:rPr>
            </w:pPr>
          </w:p>
        </w:tc>
        <w:tc>
          <w:tcPr>
            <w:tcW w:w="1933" w:type="pct"/>
            <w:tcBorders>
              <w:top w:val="single" w:sz="8" w:space="0" w:color="auto"/>
            </w:tcBorders>
            <w:shd w:val="clear" w:color="auto" w:fill="C2D69B" w:themeFill="accent3" w:themeFillTint="99"/>
          </w:tcPr>
          <w:p w:rsidR="003D2B57" w:rsidRPr="00584315" w:rsidRDefault="003D2B57" w:rsidP="009F1611">
            <w:pPr>
              <w:rPr>
                <w:rFonts w:ascii="Times New Roman" w:hAnsi="Times New Roman" w:cs="Times New Roman"/>
                <w:sz w:val="24"/>
                <w:szCs w:val="24"/>
              </w:rPr>
            </w:pPr>
            <w:r w:rsidRPr="00584315">
              <w:rPr>
                <w:rFonts w:ascii="Times New Roman" w:hAnsi="Times New Roman" w:cs="Times New Roman"/>
                <w:color w:val="000000"/>
                <w:sz w:val="24"/>
                <w:szCs w:val="24"/>
              </w:rPr>
              <w:t>netekusiems 55 %</w:t>
            </w:r>
            <w:r w:rsidR="002A33D4" w:rsidRPr="00584315">
              <w:rPr>
                <w:rFonts w:ascii="Times New Roman" w:hAnsi="Times New Roman" w:cs="Times New Roman"/>
                <w:color w:val="000000"/>
                <w:sz w:val="24"/>
                <w:szCs w:val="24"/>
              </w:rPr>
              <w:t xml:space="preserve"> darbingumo</w:t>
            </w:r>
            <w:r w:rsidRPr="00584315">
              <w:rPr>
                <w:rFonts w:ascii="Times New Roman" w:hAnsi="Times New Roman" w:cs="Times New Roman"/>
                <w:color w:val="000000"/>
                <w:sz w:val="24"/>
                <w:szCs w:val="24"/>
              </w:rPr>
              <w:t xml:space="preserve"> – </w:t>
            </w:r>
            <w:r w:rsidR="002A33D4" w:rsidRPr="00584315">
              <w:rPr>
                <w:rFonts w:ascii="Times New Roman" w:hAnsi="Times New Roman" w:cs="Times New Roman"/>
                <w:b/>
                <w:color w:val="000000"/>
                <w:sz w:val="24"/>
                <w:szCs w:val="24"/>
              </w:rPr>
              <w:t>134,40 Eur</w:t>
            </w:r>
            <w:r w:rsidR="002A33D4" w:rsidRPr="00584315">
              <w:rPr>
                <w:rFonts w:ascii="Times New Roman" w:hAnsi="Times New Roman" w:cs="Times New Roman"/>
                <w:color w:val="000000"/>
                <w:sz w:val="24"/>
                <w:szCs w:val="24"/>
              </w:rPr>
              <w:t xml:space="preserve"> (</w:t>
            </w:r>
            <w:r w:rsidRPr="00584315">
              <w:rPr>
                <w:rFonts w:ascii="Times New Roman" w:hAnsi="Times New Roman" w:cs="Times New Roman"/>
                <w:color w:val="000000"/>
                <w:sz w:val="24"/>
                <w:szCs w:val="24"/>
              </w:rPr>
              <w:t>1,2 ŠPB</w:t>
            </w:r>
            <w:r w:rsidR="002A33D4" w:rsidRPr="00584315">
              <w:rPr>
                <w:rFonts w:ascii="Times New Roman" w:hAnsi="Times New Roman" w:cs="Times New Roman"/>
                <w:color w:val="000000"/>
                <w:sz w:val="24"/>
                <w:szCs w:val="24"/>
              </w:rPr>
              <w:t>)</w:t>
            </w:r>
            <w:r w:rsidRPr="00584315">
              <w:rPr>
                <w:rFonts w:ascii="Times New Roman" w:hAnsi="Times New Roman" w:cs="Times New Roman"/>
                <w:color w:val="000000"/>
                <w:sz w:val="24"/>
                <w:szCs w:val="24"/>
              </w:rPr>
              <w:t xml:space="preserve"> </w:t>
            </w:r>
          </w:p>
        </w:tc>
        <w:tc>
          <w:tcPr>
            <w:tcW w:w="1720" w:type="pct"/>
            <w:vMerge w:val="restart"/>
            <w:tcBorders>
              <w:top w:val="single" w:sz="8" w:space="0" w:color="auto"/>
              <w:bottom w:val="single" w:sz="12" w:space="0" w:color="FF0000"/>
              <w:right w:val="single" w:sz="12" w:space="0" w:color="FF0000"/>
            </w:tcBorders>
            <w:shd w:val="clear" w:color="auto" w:fill="C2D69B" w:themeFill="accent3" w:themeFillTint="99"/>
          </w:tcPr>
          <w:p w:rsidR="003D2B57" w:rsidRPr="005B7990" w:rsidRDefault="003D2B57" w:rsidP="00584315">
            <w:pPr>
              <w:rPr>
                <w:rFonts w:ascii="Times New Roman" w:hAnsi="Times New Roman" w:cs="Times New Roman"/>
                <w:sz w:val="24"/>
                <w:szCs w:val="24"/>
              </w:rPr>
            </w:pPr>
            <w:r w:rsidRPr="005B7990">
              <w:rPr>
                <w:rFonts w:ascii="Times New Roman" w:hAnsi="Times New Roman" w:cs="Times New Roman"/>
                <w:color w:val="000000"/>
                <w:sz w:val="24"/>
                <w:szCs w:val="24"/>
              </w:rPr>
              <w:t xml:space="preserve">netekus 45-55 </w:t>
            </w:r>
            <w:r w:rsidR="00584315" w:rsidRPr="005B7990">
              <w:rPr>
                <w:rFonts w:ascii="Times New Roman" w:hAnsi="Times New Roman" w:cs="Times New Roman"/>
                <w:color w:val="000000"/>
                <w:sz w:val="24"/>
                <w:szCs w:val="24"/>
              </w:rPr>
              <w:t>%</w:t>
            </w:r>
            <w:r w:rsidR="005B7990" w:rsidRPr="005B7990">
              <w:rPr>
                <w:rFonts w:ascii="Times New Roman" w:hAnsi="Times New Roman" w:cs="Times New Roman"/>
                <w:color w:val="000000"/>
                <w:sz w:val="24"/>
                <w:szCs w:val="24"/>
              </w:rPr>
              <w:t xml:space="preserve"> </w:t>
            </w:r>
            <w:r w:rsidRPr="005B7990">
              <w:rPr>
                <w:rFonts w:ascii="Times New Roman" w:hAnsi="Times New Roman" w:cs="Times New Roman"/>
                <w:color w:val="000000"/>
                <w:sz w:val="24"/>
                <w:szCs w:val="24"/>
              </w:rPr>
              <w:t xml:space="preserve">darbingumo </w:t>
            </w:r>
            <w:r w:rsidR="00584315" w:rsidRPr="005B7990">
              <w:rPr>
                <w:rFonts w:ascii="Times New Roman" w:hAnsi="Times New Roman" w:cs="Times New Roman"/>
                <w:color w:val="000000"/>
                <w:sz w:val="24"/>
                <w:szCs w:val="24"/>
              </w:rPr>
              <w:t>-</w:t>
            </w:r>
            <w:r w:rsidRPr="005B7990">
              <w:rPr>
                <w:rFonts w:ascii="Times New Roman" w:hAnsi="Times New Roman" w:cs="Times New Roman"/>
                <w:sz w:val="24"/>
                <w:szCs w:val="24"/>
              </w:rPr>
              <w:t> </w:t>
            </w:r>
            <w:r w:rsidRPr="005B7990">
              <w:rPr>
                <w:rFonts w:ascii="Times New Roman" w:hAnsi="Times New Roman" w:cs="Times New Roman"/>
                <w:b/>
                <w:bCs/>
                <w:sz w:val="24"/>
                <w:szCs w:val="24"/>
              </w:rPr>
              <w:t>84,00</w:t>
            </w:r>
            <w:r w:rsidRPr="005B7990">
              <w:rPr>
                <w:rFonts w:ascii="Times New Roman" w:hAnsi="Times New Roman" w:cs="Times New Roman"/>
                <w:sz w:val="24"/>
                <w:szCs w:val="24"/>
              </w:rPr>
              <w:t> </w:t>
            </w:r>
            <w:r w:rsidRPr="005B7990">
              <w:rPr>
                <w:rFonts w:ascii="Times New Roman" w:hAnsi="Times New Roman" w:cs="Times New Roman"/>
                <w:b/>
                <w:color w:val="000000"/>
                <w:sz w:val="24"/>
                <w:szCs w:val="24"/>
              </w:rPr>
              <w:t>Eur</w:t>
            </w:r>
            <w:r w:rsidRPr="005B7990">
              <w:rPr>
                <w:rFonts w:ascii="Times New Roman" w:hAnsi="Times New Roman" w:cs="Times New Roman"/>
                <w:color w:val="000000"/>
                <w:sz w:val="24"/>
                <w:szCs w:val="24"/>
              </w:rPr>
              <w:t xml:space="preserve"> (0,75 BPD)</w:t>
            </w:r>
          </w:p>
        </w:tc>
      </w:tr>
      <w:tr w:rsidR="003D2B57" w:rsidRPr="002A33D4" w:rsidTr="005B7990">
        <w:tc>
          <w:tcPr>
            <w:tcW w:w="1347" w:type="pct"/>
            <w:vMerge/>
            <w:tcBorders>
              <w:top w:val="single" w:sz="12" w:space="0" w:color="auto"/>
              <w:left w:val="single" w:sz="12" w:space="0" w:color="FF0000"/>
              <w:bottom w:val="single" w:sz="12" w:space="0" w:color="FF0000"/>
            </w:tcBorders>
            <w:shd w:val="clear" w:color="auto" w:fill="EAF1DD" w:themeFill="accent3" w:themeFillTint="33"/>
          </w:tcPr>
          <w:p w:rsidR="003D2B57" w:rsidRPr="002A33D4" w:rsidRDefault="003D2B57">
            <w:pPr>
              <w:rPr>
                <w:rFonts w:ascii="Times New Roman" w:hAnsi="Times New Roman" w:cs="Times New Roman"/>
                <w:sz w:val="24"/>
                <w:szCs w:val="24"/>
              </w:rPr>
            </w:pPr>
          </w:p>
        </w:tc>
        <w:tc>
          <w:tcPr>
            <w:tcW w:w="1933" w:type="pct"/>
            <w:tcBorders>
              <w:bottom w:val="single" w:sz="4" w:space="0" w:color="auto"/>
            </w:tcBorders>
            <w:shd w:val="clear" w:color="auto" w:fill="C2D69B" w:themeFill="accent3" w:themeFillTint="99"/>
          </w:tcPr>
          <w:p w:rsidR="003D2B57" w:rsidRPr="00584315" w:rsidRDefault="003D2B57" w:rsidP="009F1611">
            <w:pPr>
              <w:rPr>
                <w:rFonts w:ascii="Times New Roman" w:hAnsi="Times New Roman" w:cs="Times New Roman"/>
                <w:sz w:val="24"/>
                <w:szCs w:val="24"/>
              </w:rPr>
            </w:pPr>
            <w:r w:rsidRPr="00584315">
              <w:rPr>
                <w:rFonts w:ascii="Times New Roman" w:hAnsi="Times New Roman" w:cs="Times New Roman"/>
                <w:color w:val="000000"/>
                <w:sz w:val="24"/>
                <w:szCs w:val="24"/>
              </w:rPr>
              <w:t>netekusiems 50 %</w:t>
            </w:r>
            <w:r w:rsidR="002A33D4" w:rsidRPr="00584315">
              <w:rPr>
                <w:rFonts w:ascii="Times New Roman" w:hAnsi="Times New Roman" w:cs="Times New Roman"/>
                <w:color w:val="000000"/>
                <w:sz w:val="24"/>
                <w:szCs w:val="24"/>
              </w:rPr>
              <w:t xml:space="preserve"> darbingumo</w:t>
            </w:r>
            <w:r w:rsidRPr="00584315">
              <w:rPr>
                <w:rFonts w:ascii="Times New Roman" w:hAnsi="Times New Roman" w:cs="Times New Roman"/>
                <w:color w:val="000000"/>
                <w:sz w:val="24"/>
                <w:szCs w:val="24"/>
              </w:rPr>
              <w:t xml:space="preserve"> – </w:t>
            </w:r>
            <w:r w:rsidR="00460604" w:rsidRPr="00584315">
              <w:rPr>
                <w:rFonts w:ascii="Times New Roman" w:hAnsi="Times New Roman" w:cs="Times New Roman"/>
                <w:b/>
                <w:color w:val="000000"/>
                <w:sz w:val="24"/>
                <w:szCs w:val="24"/>
              </w:rPr>
              <w:t>119,56 Eur</w:t>
            </w:r>
            <w:r w:rsidR="00460604" w:rsidRPr="00584315">
              <w:rPr>
                <w:rFonts w:ascii="Times New Roman" w:hAnsi="Times New Roman" w:cs="Times New Roman"/>
                <w:color w:val="000000"/>
                <w:sz w:val="24"/>
                <w:szCs w:val="24"/>
              </w:rPr>
              <w:t xml:space="preserve"> (</w:t>
            </w:r>
            <w:r w:rsidRPr="00584315">
              <w:rPr>
                <w:rFonts w:ascii="Times New Roman" w:hAnsi="Times New Roman" w:cs="Times New Roman"/>
                <w:color w:val="000000"/>
                <w:sz w:val="24"/>
                <w:szCs w:val="24"/>
              </w:rPr>
              <w:t>0,98 ŠPB</w:t>
            </w:r>
            <w:r w:rsidR="00460604" w:rsidRPr="00584315">
              <w:rPr>
                <w:rFonts w:ascii="Times New Roman" w:hAnsi="Times New Roman" w:cs="Times New Roman"/>
                <w:color w:val="000000"/>
                <w:sz w:val="24"/>
                <w:szCs w:val="24"/>
              </w:rPr>
              <w:t>)</w:t>
            </w:r>
            <w:r w:rsidRPr="00584315">
              <w:rPr>
                <w:rFonts w:ascii="Times New Roman" w:hAnsi="Times New Roman" w:cs="Times New Roman"/>
                <w:color w:val="000000"/>
                <w:sz w:val="24"/>
                <w:szCs w:val="24"/>
              </w:rPr>
              <w:t xml:space="preserve"> </w:t>
            </w:r>
          </w:p>
        </w:tc>
        <w:tc>
          <w:tcPr>
            <w:tcW w:w="1720" w:type="pct"/>
            <w:vMerge/>
            <w:tcBorders>
              <w:top w:val="single" w:sz="12" w:space="0" w:color="auto"/>
              <w:bottom w:val="single" w:sz="12" w:space="0" w:color="FF0000"/>
              <w:right w:val="single" w:sz="12" w:space="0" w:color="FF0000"/>
            </w:tcBorders>
            <w:shd w:val="clear" w:color="auto" w:fill="C2D69B" w:themeFill="accent3" w:themeFillTint="99"/>
          </w:tcPr>
          <w:p w:rsidR="003D2B57" w:rsidRPr="00584315" w:rsidRDefault="003D2B57">
            <w:pPr>
              <w:rPr>
                <w:rFonts w:ascii="Times New Roman" w:hAnsi="Times New Roman" w:cs="Times New Roman"/>
                <w:sz w:val="24"/>
                <w:szCs w:val="24"/>
              </w:rPr>
            </w:pPr>
          </w:p>
        </w:tc>
      </w:tr>
      <w:tr w:rsidR="003D2B57" w:rsidRPr="002A33D4" w:rsidTr="005B7990">
        <w:tc>
          <w:tcPr>
            <w:tcW w:w="1347" w:type="pct"/>
            <w:vMerge/>
            <w:tcBorders>
              <w:top w:val="single" w:sz="12" w:space="0" w:color="auto"/>
              <w:left w:val="single" w:sz="12" w:space="0" w:color="FF0000"/>
              <w:bottom w:val="single" w:sz="12" w:space="0" w:color="FF0000"/>
            </w:tcBorders>
            <w:shd w:val="clear" w:color="auto" w:fill="EAF1DD" w:themeFill="accent3" w:themeFillTint="33"/>
          </w:tcPr>
          <w:p w:rsidR="003D2B57" w:rsidRPr="002A33D4" w:rsidRDefault="003D2B57">
            <w:pPr>
              <w:rPr>
                <w:rFonts w:ascii="Times New Roman" w:hAnsi="Times New Roman" w:cs="Times New Roman"/>
                <w:sz w:val="24"/>
                <w:szCs w:val="24"/>
              </w:rPr>
            </w:pPr>
          </w:p>
        </w:tc>
        <w:tc>
          <w:tcPr>
            <w:tcW w:w="1933" w:type="pct"/>
            <w:tcBorders>
              <w:bottom w:val="single" w:sz="12" w:space="0" w:color="FF0000"/>
            </w:tcBorders>
            <w:shd w:val="clear" w:color="auto" w:fill="C2D69B" w:themeFill="accent3" w:themeFillTint="99"/>
          </w:tcPr>
          <w:p w:rsidR="003D2B57" w:rsidRPr="00584315" w:rsidRDefault="003D2B57" w:rsidP="009F1611">
            <w:pPr>
              <w:rPr>
                <w:rFonts w:ascii="Times New Roman" w:hAnsi="Times New Roman" w:cs="Times New Roman"/>
                <w:sz w:val="24"/>
                <w:szCs w:val="24"/>
              </w:rPr>
            </w:pPr>
            <w:r w:rsidRPr="00584315">
              <w:rPr>
                <w:rFonts w:ascii="Times New Roman" w:hAnsi="Times New Roman" w:cs="Times New Roman"/>
                <w:color w:val="000000"/>
                <w:sz w:val="24"/>
                <w:szCs w:val="24"/>
              </w:rPr>
              <w:t>netekusiems 45 %</w:t>
            </w:r>
            <w:r w:rsidR="002A33D4" w:rsidRPr="00584315">
              <w:rPr>
                <w:rFonts w:ascii="Times New Roman" w:hAnsi="Times New Roman" w:cs="Times New Roman"/>
                <w:color w:val="000000"/>
                <w:sz w:val="24"/>
                <w:szCs w:val="24"/>
              </w:rPr>
              <w:t xml:space="preserve"> darbingumo</w:t>
            </w:r>
            <w:r w:rsidRPr="00584315">
              <w:rPr>
                <w:rFonts w:ascii="Times New Roman" w:hAnsi="Times New Roman" w:cs="Times New Roman"/>
                <w:color w:val="000000"/>
                <w:sz w:val="24"/>
                <w:szCs w:val="24"/>
              </w:rPr>
              <w:t xml:space="preserve"> – </w:t>
            </w:r>
            <w:r w:rsidR="00460604" w:rsidRPr="00584315">
              <w:rPr>
                <w:rFonts w:ascii="Times New Roman" w:hAnsi="Times New Roman" w:cs="Times New Roman"/>
                <w:b/>
                <w:color w:val="000000"/>
                <w:sz w:val="24"/>
                <w:szCs w:val="24"/>
              </w:rPr>
              <w:t>84,00 Eur</w:t>
            </w:r>
            <w:r w:rsidR="00460604" w:rsidRPr="00584315">
              <w:rPr>
                <w:rFonts w:ascii="Times New Roman" w:hAnsi="Times New Roman" w:cs="Times New Roman"/>
                <w:color w:val="000000"/>
                <w:sz w:val="24"/>
                <w:szCs w:val="24"/>
              </w:rPr>
              <w:t xml:space="preserve"> (</w:t>
            </w:r>
            <w:r w:rsidRPr="00584315">
              <w:rPr>
                <w:rFonts w:ascii="Times New Roman" w:hAnsi="Times New Roman" w:cs="Times New Roman"/>
                <w:color w:val="000000"/>
                <w:sz w:val="24"/>
                <w:szCs w:val="24"/>
              </w:rPr>
              <w:t>0,75 ŠPB</w:t>
            </w:r>
            <w:r w:rsidR="00460604" w:rsidRPr="00584315">
              <w:rPr>
                <w:rFonts w:ascii="Times New Roman" w:hAnsi="Times New Roman" w:cs="Times New Roman"/>
                <w:color w:val="000000"/>
                <w:sz w:val="24"/>
                <w:szCs w:val="24"/>
              </w:rPr>
              <w:t>)</w:t>
            </w:r>
            <w:r w:rsidRPr="00584315">
              <w:rPr>
                <w:rFonts w:ascii="Times New Roman" w:hAnsi="Times New Roman" w:cs="Times New Roman"/>
                <w:color w:val="000000"/>
                <w:sz w:val="24"/>
                <w:szCs w:val="24"/>
              </w:rPr>
              <w:t xml:space="preserve"> </w:t>
            </w:r>
          </w:p>
        </w:tc>
        <w:tc>
          <w:tcPr>
            <w:tcW w:w="1720" w:type="pct"/>
            <w:vMerge/>
            <w:tcBorders>
              <w:top w:val="single" w:sz="12" w:space="0" w:color="auto"/>
              <w:bottom w:val="single" w:sz="12" w:space="0" w:color="FF0000"/>
              <w:right w:val="single" w:sz="12" w:space="0" w:color="FF0000"/>
            </w:tcBorders>
            <w:shd w:val="clear" w:color="auto" w:fill="C2D69B" w:themeFill="accent3" w:themeFillTint="99"/>
          </w:tcPr>
          <w:p w:rsidR="003D2B57" w:rsidRPr="00584315" w:rsidRDefault="003D2B57">
            <w:pPr>
              <w:rPr>
                <w:rFonts w:ascii="Times New Roman" w:hAnsi="Times New Roman" w:cs="Times New Roman"/>
                <w:sz w:val="24"/>
                <w:szCs w:val="24"/>
              </w:rPr>
            </w:pPr>
          </w:p>
        </w:tc>
      </w:tr>
      <w:tr w:rsidR="003D2B57" w:rsidRPr="002A33D4" w:rsidTr="005B7990">
        <w:tc>
          <w:tcPr>
            <w:tcW w:w="1347" w:type="pct"/>
            <w:vMerge w:val="restart"/>
            <w:tcBorders>
              <w:top w:val="single" w:sz="12" w:space="0" w:color="FF0000"/>
              <w:left w:val="single" w:sz="12" w:space="0" w:color="FF0000"/>
              <w:bottom w:val="single" w:sz="12" w:space="0" w:color="FF0000"/>
            </w:tcBorders>
            <w:shd w:val="clear" w:color="auto" w:fill="DAEEF3" w:themeFill="accent5" w:themeFillTint="33"/>
          </w:tcPr>
          <w:p w:rsidR="003D2B57" w:rsidRPr="002A33D4" w:rsidRDefault="00584315">
            <w:pPr>
              <w:rPr>
                <w:rFonts w:ascii="Times New Roman" w:hAnsi="Times New Roman" w:cs="Times New Roman"/>
                <w:sz w:val="24"/>
                <w:szCs w:val="24"/>
              </w:rPr>
            </w:pPr>
            <w:r>
              <w:rPr>
                <w:rFonts w:ascii="Times New Roman" w:hAnsi="Times New Roman" w:cs="Times New Roman"/>
                <w:color w:val="000000"/>
                <w:sz w:val="24"/>
                <w:szCs w:val="24"/>
              </w:rPr>
              <w:t>A</w:t>
            </w:r>
            <w:r w:rsidR="003D2B57" w:rsidRPr="002A33D4">
              <w:rPr>
                <w:rFonts w:ascii="Times New Roman" w:hAnsi="Times New Roman" w:cs="Times New Roman"/>
                <w:color w:val="000000"/>
                <w:sz w:val="24"/>
                <w:szCs w:val="24"/>
              </w:rPr>
              <w:t>smenys, pripažinti nedarbingais ar iš dalies darbingais, netekusiais 60 %ir daugiau darbingumo (iki 2005 m. liepos 1 d. pripažinti I ar II grupės invalidais)</w:t>
            </w:r>
          </w:p>
        </w:tc>
        <w:tc>
          <w:tcPr>
            <w:tcW w:w="1933" w:type="pct"/>
            <w:tcBorders>
              <w:top w:val="single" w:sz="12" w:space="0" w:color="FF0000"/>
            </w:tcBorders>
            <w:shd w:val="clear" w:color="auto" w:fill="DAEEF3" w:themeFill="accent5" w:themeFillTint="33"/>
          </w:tcPr>
          <w:p w:rsidR="003D2B57" w:rsidRPr="00584315" w:rsidRDefault="003D2B57" w:rsidP="009F1611">
            <w:pPr>
              <w:rPr>
                <w:rFonts w:ascii="Times New Roman" w:hAnsi="Times New Roman" w:cs="Times New Roman"/>
                <w:sz w:val="24"/>
                <w:szCs w:val="24"/>
              </w:rPr>
            </w:pPr>
            <w:r w:rsidRPr="00584315">
              <w:rPr>
                <w:rFonts w:ascii="Times New Roman" w:hAnsi="Times New Roman" w:cs="Times New Roman"/>
                <w:color w:val="000000"/>
                <w:sz w:val="24"/>
                <w:szCs w:val="24"/>
              </w:rPr>
              <w:t>netekusiems 100 %</w:t>
            </w:r>
            <w:r w:rsidR="002A33D4" w:rsidRPr="00584315">
              <w:rPr>
                <w:rFonts w:ascii="Times New Roman" w:hAnsi="Times New Roman" w:cs="Times New Roman"/>
                <w:color w:val="000000"/>
                <w:sz w:val="24"/>
                <w:szCs w:val="24"/>
              </w:rPr>
              <w:t xml:space="preserve"> darbingumo</w:t>
            </w:r>
            <w:r w:rsidRPr="00584315">
              <w:rPr>
                <w:rFonts w:ascii="Times New Roman" w:hAnsi="Times New Roman" w:cs="Times New Roman"/>
                <w:color w:val="000000"/>
                <w:sz w:val="24"/>
                <w:szCs w:val="24"/>
              </w:rPr>
              <w:t xml:space="preserve"> –</w:t>
            </w:r>
            <w:r w:rsidR="00460604" w:rsidRPr="00584315">
              <w:rPr>
                <w:rFonts w:ascii="Times New Roman" w:hAnsi="Times New Roman" w:cs="Times New Roman"/>
                <w:b/>
                <w:color w:val="000000"/>
                <w:sz w:val="24"/>
                <w:szCs w:val="24"/>
              </w:rPr>
              <w:t>112</w:t>
            </w:r>
            <w:r w:rsidR="005B7990">
              <w:rPr>
                <w:rFonts w:ascii="Times New Roman" w:hAnsi="Times New Roman" w:cs="Times New Roman"/>
                <w:b/>
                <w:color w:val="000000"/>
                <w:sz w:val="24"/>
                <w:szCs w:val="24"/>
              </w:rPr>
              <w:t>,00</w:t>
            </w:r>
            <w:r w:rsidR="00460604" w:rsidRPr="00584315">
              <w:rPr>
                <w:rFonts w:ascii="Times New Roman" w:hAnsi="Times New Roman" w:cs="Times New Roman"/>
                <w:b/>
                <w:color w:val="000000"/>
                <w:sz w:val="24"/>
                <w:szCs w:val="24"/>
              </w:rPr>
              <w:t xml:space="preserve"> Eur</w:t>
            </w:r>
            <w:r w:rsidRPr="00584315">
              <w:rPr>
                <w:rFonts w:ascii="Times New Roman" w:hAnsi="Times New Roman" w:cs="Times New Roman"/>
                <w:color w:val="000000"/>
                <w:sz w:val="24"/>
                <w:szCs w:val="24"/>
              </w:rPr>
              <w:t xml:space="preserve"> </w:t>
            </w:r>
            <w:r w:rsidR="00460604" w:rsidRPr="00584315">
              <w:rPr>
                <w:rFonts w:ascii="Times New Roman" w:hAnsi="Times New Roman" w:cs="Times New Roman"/>
                <w:color w:val="000000"/>
                <w:sz w:val="24"/>
                <w:szCs w:val="24"/>
              </w:rPr>
              <w:t xml:space="preserve">(1 </w:t>
            </w:r>
            <w:r w:rsidRPr="00584315">
              <w:rPr>
                <w:rFonts w:ascii="Times New Roman" w:hAnsi="Times New Roman" w:cs="Times New Roman"/>
                <w:color w:val="000000"/>
                <w:sz w:val="24"/>
                <w:szCs w:val="24"/>
              </w:rPr>
              <w:t>ŠPB</w:t>
            </w:r>
            <w:r w:rsidR="00460604" w:rsidRPr="00584315">
              <w:rPr>
                <w:rFonts w:ascii="Times New Roman" w:hAnsi="Times New Roman" w:cs="Times New Roman"/>
                <w:color w:val="000000"/>
                <w:sz w:val="24"/>
                <w:szCs w:val="24"/>
              </w:rPr>
              <w:t>)</w:t>
            </w:r>
            <w:r w:rsidRPr="00584315">
              <w:rPr>
                <w:rFonts w:ascii="Times New Roman" w:hAnsi="Times New Roman" w:cs="Times New Roman"/>
                <w:color w:val="000000"/>
                <w:sz w:val="24"/>
                <w:szCs w:val="24"/>
              </w:rPr>
              <w:t xml:space="preserve"> </w:t>
            </w:r>
          </w:p>
        </w:tc>
        <w:tc>
          <w:tcPr>
            <w:tcW w:w="1720" w:type="pct"/>
            <w:vMerge w:val="restart"/>
            <w:tcBorders>
              <w:top w:val="single" w:sz="12" w:space="0" w:color="FF0000"/>
              <w:right w:val="single" w:sz="12" w:space="0" w:color="FF0000"/>
            </w:tcBorders>
            <w:shd w:val="clear" w:color="auto" w:fill="DAEEF3" w:themeFill="accent5" w:themeFillTint="33"/>
          </w:tcPr>
          <w:p w:rsidR="003D2B57" w:rsidRPr="005B7990" w:rsidRDefault="003D2B57" w:rsidP="00584315">
            <w:pPr>
              <w:rPr>
                <w:rFonts w:ascii="Times New Roman" w:hAnsi="Times New Roman" w:cs="Times New Roman"/>
                <w:sz w:val="24"/>
                <w:szCs w:val="24"/>
              </w:rPr>
            </w:pPr>
            <w:r w:rsidRPr="005B7990">
              <w:rPr>
                <w:rFonts w:ascii="Times New Roman" w:hAnsi="Times New Roman" w:cs="Times New Roman"/>
                <w:color w:val="000000"/>
                <w:sz w:val="24"/>
                <w:szCs w:val="24"/>
              </w:rPr>
              <w:t xml:space="preserve">netekus 75-100 </w:t>
            </w:r>
            <w:r w:rsidR="00584315" w:rsidRPr="005B7990">
              <w:rPr>
                <w:rFonts w:ascii="Times New Roman" w:hAnsi="Times New Roman" w:cs="Times New Roman"/>
                <w:color w:val="000000"/>
                <w:sz w:val="24"/>
                <w:szCs w:val="24"/>
              </w:rPr>
              <w:t>%</w:t>
            </w:r>
            <w:r w:rsidRPr="005B7990">
              <w:rPr>
                <w:rFonts w:ascii="Times New Roman" w:hAnsi="Times New Roman" w:cs="Times New Roman"/>
                <w:color w:val="000000"/>
                <w:sz w:val="24"/>
                <w:szCs w:val="24"/>
              </w:rPr>
              <w:t xml:space="preserve"> darbingumo</w:t>
            </w:r>
            <w:r w:rsidR="00584315" w:rsidRPr="005B7990">
              <w:rPr>
                <w:rFonts w:ascii="Times New Roman" w:hAnsi="Times New Roman" w:cs="Times New Roman"/>
                <w:color w:val="000000"/>
                <w:sz w:val="24"/>
                <w:szCs w:val="24"/>
              </w:rPr>
              <w:t xml:space="preserve"> -</w:t>
            </w:r>
            <w:r w:rsidRPr="005B7990">
              <w:rPr>
                <w:rFonts w:ascii="Times New Roman" w:hAnsi="Times New Roman" w:cs="Times New Roman"/>
                <w:sz w:val="24"/>
                <w:szCs w:val="24"/>
              </w:rPr>
              <w:t> </w:t>
            </w:r>
            <w:r w:rsidRPr="005B7990">
              <w:rPr>
                <w:rFonts w:ascii="Times New Roman" w:hAnsi="Times New Roman" w:cs="Times New Roman"/>
                <w:b/>
                <w:bCs/>
                <w:sz w:val="24"/>
                <w:szCs w:val="24"/>
              </w:rPr>
              <w:t>112,00</w:t>
            </w:r>
            <w:r w:rsidRPr="005B7990">
              <w:rPr>
                <w:rFonts w:ascii="Times New Roman" w:hAnsi="Times New Roman" w:cs="Times New Roman"/>
                <w:sz w:val="24"/>
                <w:szCs w:val="24"/>
              </w:rPr>
              <w:t> </w:t>
            </w:r>
            <w:r w:rsidRPr="005B7990">
              <w:rPr>
                <w:rFonts w:ascii="Times New Roman" w:hAnsi="Times New Roman" w:cs="Times New Roman"/>
                <w:b/>
                <w:color w:val="000000"/>
                <w:sz w:val="24"/>
                <w:szCs w:val="24"/>
              </w:rPr>
              <w:t>Eur</w:t>
            </w:r>
            <w:r w:rsidRPr="005B7990">
              <w:rPr>
                <w:rFonts w:ascii="Times New Roman" w:hAnsi="Times New Roman" w:cs="Times New Roman"/>
                <w:color w:val="000000"/>
                <w:sz w:val="24"/>
                <w:szCs w:val="24"/>
              </w:rPr>
              <w:t xml:space="preserve"> (1 BPD)</w:t>
            </w:r>
          </w:p>
        </w:tc>
      </w:tr>
      <w:tr w:rsidR="003D2B57" w:rsidRPr="002A33D4" w:rsidTr="005B7990">
        <w:tc>
          <w:tcPr>
            <w:tcW w:w="1347" w:type="pct"/>
            <w:vMerge/>
            <w:tcBorders>
              <w:top w:val="single" w:sz="12" w:space="0" w:color="auto"/>
              <w:left w:val="single" w:sz="12" w:space="0" w:color="FF0000"/>
              <w:bottom w:val="single" w:sz="12" w:space="0" w:color="FF0000"/>
            </w:tcBorders>
            <w:shd w:val="clear" w:color="auto" w:fill="DAEEF3" w:themeFill="accent5" w:themeFillTint="33"/>
          </w:tcPr>
          <w:p w:rsidR="003D2B57" w:rsidRPr="002A33D4" w:rsidRDefault="003D2B57">
            <w:pPr>
              <w:rPr>
                <w:rFonts w:ascii="Times New Roman" w:hAnsi="Times New Roman" w:cs="Times New Roman"/>
                <w:sz w:val="24"/>
                <w:szCs w:val="24"/>
              </w:rPr>
            </w:pPr>
          </w:p>
        </w:tc>
        <w:tc>
          <w:tcPr>
            <w:tcW w:w="1933" w:type="pct"/>
            <w:shd w:val="clear" w:color="auto" w:fill="DAEEF3" w:themeFill="accent5" w:themeFillTint="33"/>
          </w:tcPr>
          <w:p w:rsidR="003D2B57" w:rsidRPr="00584315" w:rsidRDefault="003D2B57" w:rsidP="009F1611">
            <w:pPr>
              <w:rPr>
                <w:rFonts w:ascii="Times New Roman" w:hAnsi="Times New Roman" w:cs="Times New Roman"/>
                <w:sz w:val="24"/>
                <w:szCs w:val="24"/>
              </w:rPr>
            </w:pPr>
            <w:r w:rsidRPr="00584315">
              <w:rPr>
                <w:rFonts w:ascii="Times New Roman" w:hAnsi="Times New Roman" w:cs="Times New Roman"/>
                <w:color w:val="000000"/>
                <w:sz w:val="24"/>
                <w:szCs w:val="24"/>
              </w:rPr>
              <w:t>netekusiems 95 %</w:t>
            </w:r>
            <w:r w:rsidR="002A33D4" w:rsidRPr="00584315">
              <w:rPr>
                <w:rFonts w:ascii="Times New Roman" w:hAnsi="Times New Roman" w:cs="Times New Roman"/>
                <w:color w:val="000000"/>
                <w:sz w:val="24"/>
                <w:szCs w:val="24"/>
              </w:rPr>
              <w:t xml:space="preserve"> darbingumo</w:t>
            </w:r>
            <w:r w:rsidRPr="00584315">
              <w:rPr>
                <w:rFonts w:ascii="Times New Roman" w:hAnsi="Times New Roman" w:cs="Times New Roman"/>
                <w:color w:val="000000"/>
                <w:sz w:val="24"/>
                <w:szCs w:val="24"/>
              </w:rPr>
              <w:t xml:space="preserve"> – </w:t>
            </w:r>
            <w:r w:rsidR="00460604" w:rsidRPr="00584315">
              <w:rPr>
                <w:rFonts w:ascii="Times New Roman" w:hAnsi="Times New Roman" w:cs="Times New Roman"/>
                <w:b/>
                <w:color w:val="000000"/>
                <w:sz w:val="24"/>
                <w:szCs w:val="24"/>
              </w:rPr>
              <w:t>110,88 Eur</w:t>
            </w:r>
            <w:r w:rsidR="00460604" w:rsidRPr="00584315">
              <w:rPr>
                <w:rFonts w:ascii="Times New Roman" w:hAnsi="Times New Roman" w:cs="Times New Roman"/>
                <w:color w:val="000000"/>
                <w:sz w:val="24"/>
                <w:szCs w:val="24"/>
              </w:rPr>
              <w:t xml:space="preserve"> (</w:t>
            </w:r>
            <w:r w:rsidRPr="00584315">
              <w:rPr>
                <w:rFonts w:ascii="Times New Roman" w:hAnsi="Times New Roman" w:cs="Times New Roman"/>
                <w:color w:val="000000"/>
                <w:sz w:val="24"/>
                <w:szCs w:val="24"/>
              </w:rPr>
              <w:t>0,99 ŠPB</w:t>
            </w:r>
            <w:r w:rsidR="00460604" w:rsidRPr="00584315">
              <w:rPr>
                <w:rFonts w:ascii="Times New Roman" w:hAnsi="Times New Roman" w:cs="Times New Roman"/>
                <w:color w:val="000000"/>
                <w:sz w:val="24"/>
                <w:szCs w:val="24"/>
              </w:rPr>
              <w:t>)</w:t>
            </w:r>
            <w:r w:rsidRPr="00584315">
              <w:rPr>
                <w:rFonts w:ascii="Times New Roman" w:hAnsi="Times New Roman" w:cs="Times New Roman"/>
                <w:color w:val="000000"/>
                <w:sz w:val="24"/>
                <w:szCs w:val="24"/>
              </w:rPr>
              <w:t xml:space="preserve"> </w:t>
            </w:r>
          </w:p>
        </w:tc>
        <w:tc>
          <w:tcPr>
            <w:tcW w:w="1720" w:type="pct"/>
            <w:vMerge/>
            <w:tcBorders>
              <w:right w:val="single" w:sz="12" w:space="0" w:color="FF0000"/>
            </w:tcBorders>
            <w:shd w:val="clear" w:color="auto" w:fill="DAEEF3" w:themeFill="accent5" w:themeFillTint="33"/>
          </w:tcPr>
          <w:p w:rsidR="003D2B57" w:rsidRPr="005B7990" w:rsidRDefault="003D2B57">
            <w:pPr>
              <w:rPr>
                <w:rFonts w:ascii="Times New Roman" w:hAnsi="Times New Roman" w:cs="Times New Roman"/>
                <w:sz w:val="24"/>
                <w:szCs w:val="24"/>
              </w:rPr>
            </w:pPr>
          </w:p>
        </w:tc>
      </w:tr>
      <w:tr w:rsidR="003D2B57" w:rsidRPr="002A33D4" w:rsidTr="005B7990">
        <w:tc>
          <w:tcPr>
            <w:tcW w:w="1347" w:type="pct"/>
            <w:vMerge/>
            <w:tcBorders>
              <w:top w:val="single" w:sz="12" w:space="0" w:color="auto"/>
              <w:left w:val="single" w:sz="12" w:space="0" w:color="FF0000"/>
              <w:bottom w:val="single" w:sz="12" w:space="0" w:color="FF0000"/>
            </w:tcBorders>
            <w:shd w:val="clear" w:color="auto" w:fill="DAEEF3" w:themeFill="accent5" w:themeFillTint="33"/>
          </w:tcPr>
          <w:p w:rsidR="003D2B57" w:rsidRPr="002A33D4" w:rsidRDefault="003D2B57">
            <w:pPr>
              <w:rPr>
                <w:rFonts w:ascii="Times New Roman" w:hAnsi="Times New Roman" w:cs="Times New Roman"/>
                <w:sz w:val="24"/>
                <w:szCs w:val="24"/>
              </w:rPr>
            </w:pPr>
          </w:p>
        </w:tc>
        <w:tc>
          <w:tcPr>
            <w:tcW w:w="1933" w:type="pct"/>
            <w:shd w:val="clear" w:color="auto" w:fill="DAEEF3" w:themeFill="accent5" w:themeFillTint="33"/>
          </w:tcPr>
          <w:p w:rsidR="003D2B57" w:rsidRPr="00584315" w:rsidRDefault="003D2B57" w:rsidP="009F1611">
            <w:pPr>
              <w:rPr>
                <w:rFonts w:ascii="Times New Roman" w:hAnsi="Times New Roman" w:cs="Times New Roman"/>
                <w:color w:val="000000"/>
                <w:sz w:val="24"/>
                <w:szCs w:val="24"/>
              </w:rPr>
            </w:pPr>
            <w:r w:rsidRPr="00584315">
              <w:rPr>
                <w:rFonts w:ascii="Times New Roman" w:hAnsi="Times New Roman" w:cs="Times New Roman"/>
                <w:color w:val="000000"/>
                <w:sz w:val="24"/>
                <w:szCs w:val="24"/>
              </w:rPr>
              <w:t>netekusiems 90 %</w:t>
            </w:r>
            <w:r w:rsidR="002A33D4" w:rsidRPr="00584315">
              <w:rPr>
                <w:rFonts w:ascii="Times New Roman" w:hAnsi="Times New Roman" w:cs="Times New Roman"/>
                <w:color w:val="000000"/>
                <w:sz w:val="24"/>
                <w:szCs w:val="24"/>
              </w:rPr>
              <w:t xml:space="preserve"> darbingumo</w:t>
            </w:r>
            <w:r w:rsidRPr="00584315">
              <w:rPr>
                <w:rFonts w:ascii="Times New Roman" w:hAnsi="Times New Roman" w:cs="Times New Roman"/>
                <w:color w:val="000000"/>
                <w:sz w:val="24"/>
                <w:szCs w:val="24"/>
              </w:rPr>
              <w:t xml:space="preserve"> – </w:t>
            </w:r>
            <w:r w:rsidR="00460604" w:rsidRPr="00584315">
              <w:rPr>
                <w:rFonts w:ascii="Times New Roman" w:hAnsi="Times New Roman" w:cs="Times New Roman"/>
                <w:b/>
                <w:color w:val="000000"/>
                <w:sz w:val="24"/>
                <w:szCs w:val="24"/>
              </w:rPr>
              <w:t>109,76 Eur</w:t>
            </w:r>
            <w:r w:rsidR="00460604" w:rsidRPr="00584315">
              <w:rPr>
                <w:rFonts w:ascii="Times New Roman" w:hAnsi="Times New Roman" w:cs="Times New Roman"/>
                <w:color w:val="000000"/>
                <w:sz w:val="24"/>
                <w:szCs w:val="24"/>
              </w:rPr>
              <w:t xml:space="preserve"> (</w:t>
            </w:r>
            <w:r w:rsidRPr="00584315">
              <w:rPr>
                <w:rFonts w:ascii="Times New Roman" w:hAnsi="Times New Roman" w:cs="Times New Roman"/>
                <w:color w:val="000000"/>
                <w:sz w:val="24"/>
                <w:szCs w:val="24"/>
              </w:rPr>
              <w:t>0,98 ŠPB</w:t>
            </w:r>
            <w:r w:rsidR="00460604" w:rsidRPr="00584315">
              <w:rPr>
                <w:rFonts w:ascii="Times New Roman" w:hAnsi="Times New Roman" w:cs="Times New Roman"/>
                <w:color w:val="000000"/>
                <w:sz w:val="24"/>
                <w:szCs w:val="24"/>
              </w:rPr>
              <w:t>)</w:t>
            </w:r>
            <w:r w:rsidRPr="00584315">
              <w:rPr>
                <w:rFonts w:ascii="Times New Roman" w:hAnsi="Times New Roman" w:cs="Times New Roman"/>
                <w:color w:val="000000"/>
                <w:sz w:val="24"/>
                <w:szCs w:val="24"/>
              </w:rPr>
              <w:t xml:space="preserve"> </w:t>
            </w:r>
          </w:p>
        </w:tc>
        <w:tc>
          <w:tcPr>
            <w:tcW w:w="1720" w:type="pct"/>
            <w:vMerge/>
            <w:tcBorders>
              <w:right w:val="single" w:sz="12" w:space="0" w:color="FF0000"/>
            </w:tcBorders>
            <w:shd w:val="clear" w:color="auto" w:fill="DAEEF3" w:themeFill="accent5" w:themeFillTint="33"/>
          </w:tcPr>
          <w:p w:rsidR="003D2B57" w:rsidRPr="005B7990" w:rsidRDefault="003D2B57">
            <w:pPr>
              <w:rPr>
                <w:rFonts w:ascii="Times New Roman" w:hAnsi="Times New Roman" w:cs="Times New Roman"/>
                <w:sz w:val="24"/>
                <w:szCs w:val="24"/>
              </w:rPr>
            </w:pPr>
          </w:p>
        </w:tc>
      </w:tr>
      <w:tr w:rsidR="003D2B57" w:rsidRPr="002A33D4" w:rsidTr="005B7990">
        <w:tc>
          <w:tcPr>
            <w:tcW w:w="1347" w:type="pct"/>
            <w:vMerge/>
            <w:tcBorders>
              <w:top w:val="single" w:sz="12" w:space="0" w:color="auto"/>
              <w:left w:val="single" w:sz="12" w:space="0" w:color="FF0000"/>
              <w:bottom w:val="single" w:sz="12" w:space="0" w:color="FF0000"/>
            </w:tcBorders>
            <w:shd w:val="clear" w:color="auto" w:fill="DAEEF3" w:themeFill="accent5" w:themeFillTint="33"/>
          </w:tcPr>
          <w:p w:rsidR="003D2B57" w:rsidRPr="002A33D4" w:rsidRDefault="003D2B57">
            <w:pPr>
              <w:rPr>
                <w:rFonts w:ascii="Times New Roman" w:hAnsi="Times New Roman" w:cs="Times New Roman"/>
                <w:sz w:val="24"/>
                <w:szCs w:val="24"/>
              </w:rPr>
            </w:pPr>
          </w:p>
        </w:tc>
        <w:tc>
          <w:tcPr>
            <w:tcW w:w="1933" w:type="pct"/>
            <w:shd w:val="clear" w:color="auto" w:fill="DAEEF3" w:themeFill="accent5" w:themeFillTint="33"/>
          </w:tcPr>
          <w:p w:rsidR="003D2B57" w:rsidRPr="00584315" w:rsidRDefault="003D2B57" w:rsidP="009F1611">
            <w:pPr>
              <w:rPr>
                <w:rFonts w:ascii="Times New Roman" w:hAnsi="Times New Roman" w:cs="Times New Roman"/>
                <w:color w:val="000000"/>
                <w:sz w:val="24"/>
                <w:szCs w:val="24"/>
              </w:rPr>
            </w:pPr>
            <w:r w:rsidRPr="00584315">
              <w:rPr>
                <w:rFonts w:ascii="Times New Roman" w:hAnsi="Times New Roman" w:cs="Times New Roman"/>
                <w:color w:val="000000"/>
                <w:sz w:val="24"/>
                <w:szCs w:val="24"/>
              </w:rPr>
              <w:t>netekusiems 85 %</w:t>
            </w:r>
            <w:r w:rsidR="002A33D4" w:rsidRPr="00584315">
              <w:rPr>
                <w:rFonts w:ascii="Times New Roman" w:hAnsi="Times New Roman" w:cs="Times New Roman"/>
                <w:color w:val="000000"/>
                <w:sz w:val="24"/>
                <w:szCs w:val="24"/>
              </w:rPr>
              <w:t xml:space="preserve"> darbingumo</w:t>
            </w:r>
            <w:r w:rsidRPr="00584315">
              <w:rPr>
                <w:rFonts w:ascii="Times New Roman" w:hAnsi="Times New Roman" w:cs="Times New Roman"/>
                <w:color w:val="000000"/>
                <w:sz w:val="24"/>
                <w:szCs w:val="24"/>
              </w:rPr>
              <w:t xml:space="preserve"> – </w:t>
            </w:r>
            <w:r w:rsidR="00460604" w:rsidRPr="00584315">
              <w:rPr>
                <w:rFonts w:ascii="Times New Roman" w:hAnsi="Times New Roman" w:cs="Times New Roman"/>
                <w:b/>
                <w:color w:val="000000"/>
                <w:sz w:val="24"/>
                <w:szCs w:val="24"/>
              </w:rPr>
              <w:t>109,52 Eur</w:t>
            </w:r>
            <w:r w:rsidR="00460604" w:rsidRPr="00584315">
              <w:rPr>
                <w:rFonts w:ascii="Times New Roman" w:hAnsi="Times New Roman" w:cs="Times New Roman"/>
                <w:color w:val="000000"/>
                <w:sz w:val="24"/>
                <w:szCs w:val="24"/>
              </w:rPr>
              <w:t xml:space="preserve"> (</w:t>
            </w:r>
            <w:r w:rsidRPr="00584315">
              <w:rPr>
                <w:rFonts w:ascii="Times New Roman" w:hAnsi="Times New Roman" w:cs="Times New Roman"/>
                <w:color w:val="000000"/>
                <w:sz w:val="24"/>
                <w:szCs w:val="24"/>
              </w:rPr>
              <w:t>0,96 ŠPB</w:t>
            </w:r>
            <w:r w:rsidR="00460604" w:rsidRPr="00584315">
              <w:rPr>
                <w:rFonts w:ascii="Times New Roman" w:hAnsi="Times New Roman" w:cs="Times New Roman"/>
                <w:color w:val="000000"/>
                <w:sz w:val="24"/>
                <w:szCs w:val="24"/>
              </w:rPr>
              <w:t>)</w:t>
            </w:r>
            <w:r w:rsidRPr="00584315">
              <w:rPr>
                <w:rFonts w:ascii="Times New Roman" w:hAnsi="Times New Roman" w:cs="Times New Roman"/>
                <w:color w:val="000000"/>
                <w:sz w:val="24"/>
                <w:szCs w:val="24"/>
              </w:rPr>
              <w:t xml:space="preserve"> </w:t>
            </w:r>
          </w:p>
        </w:tc>
        <w:tc>
          <w:tcPr>
            <w:tcW w:w="1720" w:type="pct"/>
            <w:vMerge/>
            <w:tcBorders>
              <w:right w:val="single" w:sz="12" w:space="0" w:color="FF0000"/>
            </w:tcBorders>
            <w:shd w:val="clear" w:color="auto" w:fill="DAEEF3" w:themeFill="accent5" w:themeFillTint="33"/>
          </w:tcPr>
          <w:p w:rsidR="003D2B57" w:rsidRPr="005B7990" w:rsidRDefault="003D2B57">
            <w:pPr>
              <w:rPr>
                <w:rFonts w:ascii="Times New Roman" w:hAnsi="Times New Roman" w:cs="Times New Roman"/>
                <w:sz w:val="24"/>
                <w:szCs w:val="24"/>
              </w:rPr>
            </w:pPr>
          </w:p>
        </w:tc>
      </w:tr>
      <w:tr w:rsidR="003D2B57" w:rsidRPr="002A33D4" w:rsidTr="005B7990">
        <w:tc>
          <w:tcPr>
            <w:tcW w:w="1347" w:type="pct"/>
            <w:vMerge/>
            <w:tcBorders>
              <w:top w:val="single" w:sz="12" w:space="0" w:color="auto"/>
              <w:left w:val="single" w:sz="12" w:space="0" w:color="FF0000"/>
              <w:bottom w:val="single" w:sz="12" w:space="0" w:color="FF0000"/>
            </w:tcBorders>
            <w:shd w:val="clear" w:color="auto" w:fill="DAEEF3" w:themeFill="accent5" w:themeFillTint="33"/>
          </w:tcPr>
          <w:p w:rsidR="003D2B57" w:rsidRPr="002A33D4" w:rsidRDefault="003D2B57">
            <w:pPr>
              <w:rPr>
                <w:rFonts w:ascii="Times New Roman" w:hAnsi="Times New Roman" w:cs="Times New Roman"/>
                <w:sz w:val="24"/>
                <w:szCs w:val="24"/>
              </w:rPr>
            </w:pPr>
          </w:p>
        </w:tc>
        <w:tc>
          <w:tcPr>
            <w:tcW w:w="1933" w:type="pct"/>
            <w:shd w:val="clear" w:color="auto" w:fill="DAEEF3" w:themeFill="accent5" w:themeFillTint="33"/>
          </w:tcPr>
          <w:p w:rsidR="003D2B57" w:rsidRPr="00584315" w:rsidRDefault="003D2B57" w:rsidP="009F1611">
            <w:pPr>
              <w:rPr>
                <w:rFonts w:ascii="Times New Roman" w:hAnsi="Times New Roman" w:cs="Times New Roman"/>
                <w:color w:val="000000"/>
                <w:sz w:val="24"/>
                <w:szCs w:val="24"/>
              </w:rPr>
            </w:pPr>
            <w:r w:rsidRPr="00584315">
              <w:rPr>
                <w:rFonts w:ascii="Times New Roman" w:hAnsi="Times New Roman" w:cs="Times New Roman"/>
                <w:color w:val="000000"/>
                <w:sz w:val="24"/>
                <w:szCs w:val="24"/>
              </w:rPr>
              <w:t>netekusiems 80 %</w:t>
            </w:r>
            <w:r w:rsidR="002A33D4" w:rsidRPr="00584315">
              <w:rPr>
                <w:rFonts w:ascii="Times New Roman" w:hAnsi="Times New Roman" w:cs="Times New Roman"/>
                <w:color w:val="000000"/>
                <w:sz w:val="24"/>
                <w:szCs w:val="24"/>
              </w:rPr>
              <w:t xml:space="preserve"> darbingumo</w:t>
            </w:r>
            <w:r w:rsidRPr="00584315">
              <w:rPr>
                <w:rFonts w:ascii="Times New Roman" w:hAnsi="Times New Roman" w:cs="Times New Roman"/>
                <w:color w:val="000000"/>
                <w:sz w:val="24"/>
                <w:szCs w:val="24"/>
              </w:rPr>
              <w:t xml:space="preserve"> – </w:t>
            </w:r>
            <w:r w:rsidR="00460604" w:rsidRPr="00584315">
              <w:rPr>
                <w:rFonts w:ascii="Times New Roman" w:hAnsi="Times New Roman" w:cs="Times New Roman"/>
                <w:b/>
                <w:color w:val="000000"/>
                <w:sz w:val="24"/>
                <w:szCs w:val="24"/>
              </w:rPr>
              <w:t>106,40 Eur</w:t>
            </w:r>
            <w:r w:rsidR="00460604" w:rsidRPr="00584315">
              <w:rPr>
                <w:rFonts w:ascii="Times New Roman" w:hAnsi="Times New Roman" w:cs="Times New Roman"/>
                <w:color w:val="000000"/>
                <w:sz w:val="24"/>
                <w:szCs w:val="24"/>
              </w:rPr>
              <w:t xml:space="preserve"> (</w:t>
            </w:r>
            <w:r w:rsidRPr="00584315">
              <w:rPr>
                <w:rFonts w:ascii="Times New Roman" w:hAnsi="Times New Roman" w:cs="Times New Roman"/>
                <w:color w:val="000000"/>
                <w:sz w:val="24"/>
                <w:szCs w:val="24"/>
              </w:rPr>
              <w:t>0,95 ŠPB</w:t>
            </w:r>
            <w:r w:rsidR="00460604" w:rsidRPr="00584315">
              <w:rPr>
                <w:rFonts w:ascii="Times New Roman" w:hAnsi="Times New Roman" w:cs="Times New Roman"/>
                <w:color w:val="000000"/>
                <w:sz w:val="24"/>
                <w:szCs w:val="24"/>
              </w:rPr>
              <w:t>)</w:t>
            </w:r>
            <w:r w:rsidRPr="00584315">
              <w:rPr>
                <w:rFonts w:ascii="Times New Roman" w:hAnsi="Times New Roman" w:cs="Times New Roman"/>
                <w:color w:val="000000"/>
                <w:sz w:val="24"/>
                <w:szCs w:val="24"/>
              </w:rPr>
              <w:t xml:space="preserve"> </w:t>
            </w:r>
          </w:p>
        </w:tc>
        <w:tc>
          <w:tcPr>
            <w:tcW w:w="1720" w:type="pct"/>
            <w:vMerge/>
            <w:tcBorders>
              <w:right w:val="single" w:sz="12" w:space="0" w:color="FF0000"/>
            </w:tcBorders>
            <w:shd w:val="clear" w:color="auto" w:fill="DAEEF3" w:themeFill="accent5" w:themeFillTint="33"/>
          </w:tcPr>
          <w:p w:rsidR="003D2B57" w:rsidRPr="005B7990" w:rsidRDefault="003D2B57">
            <w:pPr>
              <w:rPr>
                <w:rFonts w:ascii="Times New Roman" w:hAnsi="Times New Roman" w:cs="Times New Roman"/>
                <w:sz w:val="24"/>
                <w:szCs w:val="24"/>
              </w:rPr>
            </w:pPr>
          </w:p>
        </w:tc>
      </w:tr>
      <w:tr w:rsidR="003D2B57" w:rsidRPr="002A33D4" w:rsidTr="005B7990">
        <w:tc>
          <w:tcPr>
            <w:tcW w:w="1347" w:type="pct"/>
            <w:vMerge/>
            <w:tcBorders>
              <w:top w:val="single" w:sz="12" w:space="0" w:color="auto"/>
              <w:left w:val="single" w:sz="12" w:space="0" w:color="FF0000"/>
              <w:bottom w:val="single" w:sz="12" w:space="0" w:color="FF0000"/>
            </w:tcBorders>
            <w:shd w:val="clear" w:color="auto" w:fill="DAEEF3" w:themeFill="accent5" w:themeFillTint="33"/>
          </w:tcPr>
          <w:p w:rsidR="003D2B57" w:rsidRPr="002A33D4" w:rsidRDefault="003D2B57">
            <w:pPr>
              <w:rPr>
                <w:rFonts w:ascii="Times New Roman" w:hAnsi="Times New Roman" w:cs="Times New Roman"/>
                <w:sz w:val="24"/>
                <w:szCs w:val="24"/>
              </w:rPr>
            </w:pPr>
          </w:p>
        </w:tc>
        <w:tc>
          <w:tcPr>
            <w:tcW w:w="1933" w:type="pct"/>
            <w:tcBorders>
              <w:bottom w:val="single" w:sz="8" w:space="0" w:color="auto"/>
            </w:tcBorders>
            <w:shd w:val="clear" w:color="auto" w:fill="DAEEF3" w:themeFill="accent5" w:themeFillTint="33"/>
          </w:tcPr>
          <w:p w:rsidR="003D2B57" w:rsidRPr="00584315" w:rsidRDefault="003D2B57" w:rsidP="009F1611">
            <w:pPr>
              <w:rPr>
                <w:rFonts w:ascii="Times New Roman" w:hAnsi="Times New Roman" w:cs="Times New Roman"/>
                <w:color w:val="000000"/>
                <w:sz w:val="24"/>
                <w:szCs w:val="24"/>
              </w:rPr>
            </w:pPr>
            <w:r w:rsidRPr="00584315">
              <w:rPr>
                <w:rFonts w:ascii="Times New Roman" w:hAnsi="Times New Roman" w:cs="Times New Roman"/>
                <w:color w:val="000000"/>
                <w:sz w:val="24"/>
                <w:szCs w:val="24"/>
              </w:rPr>
              <w:t>netekusiems 75 %</w:t>
            </w:r>
            <w:r w:rsidR="002A33D4" w:rsidRPr="00584315">
              <w:rPr>
                <w:rFonts w:ascii="Times New Roman" w:hAnsi="Times New Roman" w:cs="Times New Roman"/>
                <w:color w:val="000000"/>
                <w:sz w:val="24"/>
                <w:szCs w:val="24"/>
              </w:rPr>
              <w:t xml:space="preserve"> darbingumo</w:t>
            </w:r>
            <w:r w:rsidRPr="00584315">
              <w:rPr>
                <w:rFonts w:ascii="Times New Roman" w:hAnsi="Times New Roman" w:cs="Times New Roman"/>
                <w:color w:val="000000"/>
                <w:sz w:val="24"/>
                <w:szCs w:val="24"/>
              </w:rPr>
              <w:t xml:space="preserve"> – </w:t>
            </w:r>
            <w:r w:rsidR="00460604" w:rsidRPr="00584315">
              <w:rPr>
                <w:rFonts w:ascii="Times New Roman" w:hAnsi="Times New Roman" w:cs="Times New Roman"/>
                <w:b/>
                <w:color w:val="000000"/>
                <w:sz w:val="24"/>
                <w:szCs w:val="24"/>
              </w:rPr>
              <w:t>105,28 Eur</w:t>
            </w:r>
            <w:r w:rsidR="00460604" w:rsidRPr="00584315">
              <w:rPr>
                <w:rFonts w:ascii="Times New Roman" w:hAnsi="Times New Roman" w:cs="Times New Roman"/>
                <w:color w:val="000000"/>
                <w:sz w:val="24"/>
                <w:szCs w:val="24"/>
              </w:rPr>
              <w:t xml:space="preserve"> (</w:t>
            </w:r>
            <w:r w:rsidRPr="00584315">
              <w:rPr>
                <w:rFonts w:ascii="Times New Roman" w:hAnsi="Times New Roman" w:cs="Times New Roman"/>
                <w:color w:val="000000"/>
                <w:sz w:val="24"/>
                <w:szCs w:val="24"/>
              </w:rPr>
              <w:t>0,94 ŠPB</w:t>
            </w:r>
            <w:r w:rsidR="00460604" w:rsidRPr="00584315">
              <w:rPr>
                <w:rFonts w:ascii="Times New Roman" w:hAnsi="Times New Roman" w:cs="Times New Roman"/>
                <w:color w:val="000000"/>
                <w:sz w:val="24"/>
                <w:szCs w:val="24"/>
              </w:rPr>
              <w:t>)</w:t>
            </w:r>
            <w:r w:rsidRPr="00584315">
              <w:rPr>
                <w:rFonts w:ascii="Times New Roman" w:hAnsi="Times New Roman" w:cs="Times New Roman"/>
                <w:color w:val="000000"/>
                <w:sz w:val="24"/>
                <w:szCs w:val="24"/>
              </w:rPr>
              <w:t xml:space="preserve"> </w:t>
            </w:r>
          </w:p>
        </w:tc>
        <w:tc>
          <w:tcPr>
            <w:tcW w:w="1720" w:type="pct"/>
            <w:vMerge/>
            <w:tcBorders>
              <w:bottom w:val="single" w:sz="8" w:space="0" w:color="auto"/>
              <w:right w:val="single" w:sz="12" w:space="0" w:color="FF0000"/>
            </w:tcBorders>
            <w:shd w:val="clear" w:color="auto" w:fill="DAEEF3" w:themeFill="accent5" w:themeFillTint="33"/>
          </w:tcPr>
          <w:p w:rsidR="003D2B57" w:rsidRPr="005B7990" w:rsidRDefault="003D2B57">
            <w:pPr>
              <w:rPr>
                <w:rFonts w:ascii="Times New Roman" w:hAnsi="Times New Roman" w:cs="Times New Roman"/>
                <w:sz w:val="24"/>
                <w:szCs w:val="24"/>
              </w:rPr>
            </w:pPr>
          </w:p>
        </w:tc>
      </w:tr>
      <w:tr w:rsidR="003D2B57" w:rsidRPr="002A33D4" w:rsidTr="005B7990">
        <w:tc>
          <w:tcPr>
            <w:tcW w:w="1347" w:type="pct"/>
            <w:vMerge/>
            <w:tcBorders>
              <w:top w:val="single" w:sz="12" w:space="0" w:color="auto"/>
              <w:left w:val="single" w:sz="12" w:space="0" w:color="FF0000"/>
              <w:bottom w:val="single" w:sz="12" w:space="0" w:color="FF0000"/>
            </w:tcBorders>
            <w:shd w:val="clear" w:color="auto" w:fill="DAEEF3" w:themeFill="accent5" w:themeFillTint="33"/>
          </w:tcPr>
          <w:p w:rsidR="003D2B57" w:rsidRPr="002A33D4" w:rsidRDefault="003D2B57">
            <w:pPr>
              <w:rPr>
                <w:rFonts w:ascii="Times New Roman" w:hAnsi="Times New Roman" w:cs="Times New Roman"/>
                <w:sz w:val="24"/>
                <w:szCs w:val="24"/>
              </w:rPr>
            </w:pPr>
          </w:p>
        </w:tc>
        <w:tc>
          <w:tcPr>
            <w:tcW w:w="1933" w:type="pct"/>
            <w:tcBorders>
              <w:top w:val="single" w:sz="8" w:space="0" w:color="auto"/>
            </w:tcBorders>
            <w:shd w:val="clear" w:color="auto" w:fill="B6DDE8" w:themeFill="accent5" w:themeFillTint="66"/>
          </w:tcPr>
          <w:p w:rsidR="003D2B57" w:rsidRPr="00584315" w:rsidRDefault="003D2B57" w:rsidP="009F1611">
            <w:pPr>
              <w:rPr>
                <w:rFonts w:ascii="Times New Roman" w:hAnsi="Times New Roman" w:cs="Times New Roman"/>
                <w:color w:val="000000"/>
                <w:sz w:val="24"/>
                <w:szCs w:val="24"/>
              </w:rPr>
            </w:pPr>
            <w:r w:rsidRPr="00584315">
              <w:rPr>
                <w:rFonts w:ascii="Times New Roman" w:hAnsi="Times New Roman" w:cs="Times New Roman"/>
                <w:color w:val="000000"/>
                <w:sz w:val="24"/>
                <w:szCs w:val="24"/>
              </w:rPr>
              <w:t>netekusiems 70 %</w:t>
            </w:r>
            <w:r w:rsidR="002A33D4" w:rsidRPr="00584315">
              <w:rPr>
                <w:rFonts w:ascii="Times New Roman" w:hAnsi="Times New Roman" w:cs="Times New Roman"/>
                <w:color w:val="000000"/>
                <w:sz w:val="24"/>
                <w:szCs w:val="24"/>
              </w:rPr>
              <w:t xml:space="preserve"> darbingumo</w:t>
            </w:r>
            <w:r w:rsidRPr="00584315">
              <w:rPr>
                <w:rFonts w:ascii="Times New Roman" w:hAnsi="Times New Roman" w:cs="Times New Roman"/>
                <w:color w:val="000000"/>
                <w:sz w:val="24"/>
                <w:szCs w:val="24"/>
              </w:rPr>
              <w:t xml:space="preserve"> – </w:t>
            </w:r>
            <w:r w:rsidR="00460604" w:rsidRPr="00584315">
              <w:rPr>
                <w:rFonts w:ascii="Times New Roman" w:hAnsi="Times New Roman" w:cs="Times New Roman"/>
                <w:b/>
                <w:color w:val="000000"/>
                <w:sz w:val="24"/>
                <w:szCs w:val="24"/>
              </w:rPr>
              <w:t>104,16 Eur</w:t>
            </w:r>
            <w:r w:rsidR="00460604" w:rsidRPr="00584315">
              <w:rPr>
                <w:rFonts w:ascii="Times New Roman" w:hAnsi="Times New Roman" w:cs="Times New Roman"/>
                <w:color w:val="000000"/>
                <w:sz w:val="24"/>
                <w:szCs w:val="24"/>
              </w:rPr>
              <w:t xml:space="preserve"> (</w:t>
            </w:r>
            <w:r w:rsidRPr="00584315">
              <w:rPr>
                <w:rFonts w:ascii="Times New Roman" w:hAnsi="Times New Roman" w:cs="Times New Roman"/>
                <w:color w:val="000000"/>
                <w:sz w:val="24"/>
                <w:szCs w:val="24"/>
              </w:rPr>
              <w:t>0,93 ŠPB</w:t>
            </w:r>
            <w:r w:rsidR="00460604" w:rsidRPr="00584315">
              <w:rPr>
                <w:rFonts w:ascii="Times New Roman" w:hAnsi="Times New Roman" w:cs="Times New Roman"/>
                <w:color w:val="000000"/>
                <w:sz w:val="24"/>
                <w:szCs w:val="24"/>
              </w:rPr>
              <w:t>)</w:t>
            </w:r>
            <w:r w:rsidRPr="00584315">
              <w:rPr>
                <w:rFonts w:ascii="Times New Roman" w:hAnsi="Times New Roman" w:cs="Times New Roman"/>
                <w:color w:val="000000"/>
                <w:sz w:val="24"/>
                <w:szCs w:val="24"/>
              </w:rPr>
              <w:t xml:space="preserve"> </w:t>
            </w:r>
          </w:p>
        </w:tc>
        <w:tc>
          <w:tcPr>
            <w:tcW w:w="1720" w:type="pct"/>
            <w:vMerge w:val="restart"/>
            <w:tcBorders>
              <w:top w:val="single" w:sz="8" w:space="0" w:color="auto"/>
              <w:bottom w:val="single" w:sz="12" w:space="0" w:color="FF0000"/>
              <w:right w:val="single" w:sz="12" w:space="0" w:color="FF0000"/>
            </w:tcBorders>
            <w:shd w:val="clear" w:color="auto" w:fill="B6DDE8" w:themeFill="accent5" w:themeFillTint="66"/>
          </w:tcPr>
          <w:p w:rsidR="003D2B57" w:rsidRPr="005B7990" w:rsidRDefault="003D2B57" w:rsidP="00584315">
            <w:pPr>
              <w:rPr>
                <w:rFonts w:ascii="Times New Roman" w:hAnsi="Times New Roman" w:cs="Times New Roman"/>
                <w:sz w:val="24"/>
                <w:szCs w:val="24"/>
              </w:rPr>
            </w:pPr>
            <w:r w:rsidRPr="005B7990">
              <w:rPr>
                <w:rFonts w:ascii="Times New Roman" w:hAnsi="Times New Roman" w:cs="Times New Roman"/>
                <w:color w:val="000000"/>
                <w:sz w:val="24"/>
                <w:szCs w:val="24"/>
              </w:rPr>
              <w:t xml:space="preserve">netekus 60-70 </w:t>
            </w:r>
            <w:r w:rsidR="00584315" w:rsidRPr="005B7990">
              <w:rPr>
                <w:rFonts w:ascii="Times New Roman" w:hAnsi="Times New Roman" w:cs="Times New Roman"/>
                <w:color w:val="000000"/>
                <w:sz w:val="24"/>
                <w:szCs w:val="24"/>
              </w:rPr>
              <w:t>% darbingumo -</w:t>
            </w:r>
            <w:r w:rsidRPr="005B7990">
              <w:rPr>
                <w:rFonts w:ascii="Times New Roman" w:hAnsi="Times New Roman" w:cs="Times New Roman"/>
                <w:sz w:val="24"/>
                <w:szCs w:val="24"/>
              </w:rPr>
              <w:t> </w:t>
            </w:r>
            <w:r w:rsidRPr="005B7990">
              <w:rPr>
                <w:rFonts w:ascii="Times New Roman" w:hAnsi="Times New Roman" w:cs="Times New Roman"/>
                <w:b/>
                <w:bCs/>
                <w:sz w:val="24"/>
                <w:szCs w:val="24"/>
              </w:rPr>
              <w:t>100,80</w:t>
            </w:r>
            <w:r w:rsidRPr="005B7990">
              <w:rPr>
                <w:rFonts w:ascii="Times New Roman" w:hAnsi="Times New Roman" w:cs="Times New Roman"/>
                <w:sz w:val="24"/>
                <w:szCs w:val="24"/>
              </w:rPr>
              <w:t> </w:t>
            </w:r>
            <w:r w:rsidRPr="005B7990">
              <w:rPr>
                <w:rFonts w:ascii="Times New Roman" w:hAnsi="Times New Roman" w:cs="Times New Roman"/>
                <w:b/>
                <w:color w:val="000000"/>
                <w:sz w:val="24"/>
                <w:szCs w:val="24"/>
              </w:rPr>
              <w:t>Eur</w:t>
            </w:r>
            <w:r w:rsidRPr="005B7990">
              <w:rPr>
                <w:rFonts w:ascii="Times New Roman" w:hAnsi="Times New Roman" w:cs="Times New Roman"/>
                <w:color w:val="000000"/>
                <w:sz w:val="24"/>
                <w:szCs w:val="24"/>
              </w:rPr>
              <w:t xml:space="preserve"> (0,9 BPD)</w:t>
            </w:r>
          </w:p>
        </w:tc>
      </w:tr>
      <w:tr w:rsidR="003D2B57" w:rsidRPr="002A33D4" w:rsidTr="005B7990">
        <w:tc>
          <w:tcPr>
            <w:tcW w:w="1347" w:type="pct"/>
            <w:vMerge/>
            <w:tcBorders>
              <w:top w:val="single" w:sz="12" w:space="0" w:color="auto"/>
              <w:left w:val="single" w:sz="12" w:space="0" w:color="FF0000"/>
              <w:bottom w:val="single" w:sz="12" w:space="0" w:color="FF0000"/>
            </w:tcBorders>
            <w:shd w:val="clear" w:color="auto" w:fill="DAEEF3" w:themeFill="accent5" w:themeFillTint="33"/>
          </w:tcPr>
          <w:p w:rsidR="003D2B57" w:rsidRPr="002A33D4" w:rsidRDefault="003D2B57">
            <w:pPr>
              <w:rPr>
                <w:rFonts w:ascii="Times New Roman" w:hAnsi="Times New Roman" w:cs="Times New Roman"/>
                <w:sz w:val="24"/>
                <w:szCs w:val="24"/>
              </w:rPr>
            </w:pPr>
          </w:p>
        </w:tc>
        <w:tc>
          <w:tcPr>
            <w:tcW w:w="1933" w:type="pct"/>
            <w:tcBorders>
              <w:bottom w:val="single" w:sz="4" w:space="0" w:color="auto"/>
            </w:tcBorders>
            <w:shd w:val="clear" w:color="auto" w:fill="B6DDE8" w:themeFill="accent5" w:themeFillTint="66"/>
          </w:tcPr>
          <w:p w:rsidR="003D2B57" w:rsidRPr="002A33D4" w:rsidRDefault="003D2B57" w:rsidP="009F1611">
            <w:pPr>
              <w:rPr>
                <w:rFonts w:ascii="Times New Roman" w:hAnsi="Times New Roman" w:cs="Times New Roman"/>
                <w:color w:val="000000"/>
                <w:sz w:val="24"/>
                <w:szCs w:val="24"/>
              </w:rPr>
            </w:pPr>
            <w:r w:rsidRPr="002A33D4">
              <w:rPr>
                <w:rFonts w:ascii="Times New Roman" w:hAnsi="Times New Roman" w:cs="Times New Roman"/>
                <w:color w:val="000000"/>
                <w:sz w:val="24"/>
                <w:szCs w:val="24"/>
              </w:rPr>
              <w:t>netekusiems 65 %</w:t>
            </w:r>
            <w:r w:rsidR="002A33D4">
              <w:rPr>
                <w:rFonts w:ascii="Times New Roman" w:hAnsi="Times New Roman" w:cs="Times New Roman"/>
                <w:color w:val="000000"/>
                <w:sz w:val="24"/>
                <w:szCs w:val="24"/>
              </w:rPr>
              <w:t xml:space="preserve"> darbingumo</w:t>
            </w:r>
            <w:r w:rsidRPr="002A33D4">
              <w:rPr>
                <w:rFonts w:ascii="Times New Roman" w:hAnsi="Times New Roman" w:cs="Times New Roman"/>
                <w:color w:val="000000"/>
                <w:sz w:val="24"/>
                <w:szCs w:val="24"/>
              </w:rPr>
              <w:t xml:space="preserve"> – </w:t>
            </w:r>
            <w:r w:rsidR="00460604" w:rsidRPr="00460604">
              <w:rPr>
                <w:rFonts w:ascii="Times New Roman" w:hAnsi="Times New Roman" w:cs="Times New Roman"/>
                <w:b/>
                <w:color w:val="000000"/>
                <w:sz w:val="24"/>
                <w:szCs w:val="24"/>
              </w:rPr>
              <w:t>101,92 Eur</w:t>
            </w:r>
            <w:r w:rsidR="00460604">
              <w:rPr>
                <w:rFonts w:ascii="Times New Roman" w:hAnsi="Times New Roman" w:cs="Times New Roman"/>
                <w:color w:val="000000"/>
                <w:sz w:val="24"/>
                <w:szCs w:val="24"/>
              </w:rPr>
              <w:t xml:space="preserve"> (</w:t>
            </w:r>
            <w:r w:rsidRPr="002A33D4">
              <w:rPr>
                <w:rFonts w:ascii="Times New Roman" w:hAnsi="Times New Roman" w:cs="Times New Roman"/>
                <w:color w:val="000000"/>
                <w:sz w:val="24"/>
                <w:szCs w:val="24"/>
              </w:rPr>
              <w:t>0,91 ŠPB</w:t>
            </w:r>
            <w:r w:rsidR="00460604">
              <w:rPr>
                <w:rFonts w:ascii="Times New Roman" w:hAnsi="Times New Roman" w:cs="Times New Roman"/>
                <w:color w:val="000000"/>
                <w:sz w:val="24"/>
                <w:szCs w:val="24"/>
              </w:rPr>
              <w:t>)</w:t>
            </w:r>
            <w:r w:rsidRPr="002A33D4">
              <w:rPr>
                <w:rFonts w:ascii="Times New Roman" w:hAnsi="Times New Roman" w:cs="Times New Roman"/>
                <w:color w:val="000000"/>
                <w:sz w:val="24"/>
                <w:szCs w:val="24"/>
              </w:rPr>
              <w:t xml:space="preserve"> </w:t>
            </w:r>
          </w:p>
        </w:tc>
        <w:tc>
          <w:tcPr>
            <w:tcW w:w="1720" w:type="pct"/>
            <w:vMerge/>
            <w:tcBorders>
              <w:top w:val="single" w:sz="12" w:space="0" w:color="auto"/>
              <w:bottom w:val="single" w:sz="12" w:space="0" w:color="FF0000"/>
              <w:right w:val="single" w:sz="12" w:space="0" w:color="FF0000"/>
            </w:tcBorders>
            <w:shd w:val="clear" w:color="auto" w:fill="B6DDE8" w:themeFill="accent5" w:themeFillTint="66"/>
          </w:tcPr>
          <w:p w:rsidR="003D2B57" w:rsidRPr="002A33D4" w:rsidRDefault="003D2B57">
            <w:pPr>
              <w:rPr>
                <w:rFonts w:ascii="Times New Roman" w:hAnsi="Times New Roman" w:cs="Times New Roman"/>
                <w:sz w:val="24"/>
                <w:szCs w:val="24"/>
              </w:rPr>
            </w:pPr>
          </w:p>
        </w:tc>
      </w:tr>
      <w:tr w:rsidR="003D2B57" w:rsidRPr="002A33D4" w:rsidTr="005B7990">
        <w:tc>
          <w:tcPr>
            <w:tcW w:w="1347" w:type="pct"/>
            <w:vMerge/>
            <w:tcBorders>
              <w:top w:val="single" w:sz="12" w:space="0" w:color="auto"/>
              <w:left w:val="single" w:sz="12" w:space="0" w:color="FF0000"/>
              <w:bottom w:val="single" w:sz="12" w:space="0" w:color="FF0000"/>
            </w:tcBorders>
            <w:shd w:val="clear" w:color="auto" w:fill="DAEEF3" w:themeFill="accent5" w:themeFillTint="33"/>
          </w:tcPr>
          <w:p w:rsidR="003D2B57" w:rsidRPr="002A33D4" w:rsidRDefault="003D2B57">
            <w:pPr>
              <w:rPr>
                <w:rFonts w:ascii="Times New Roman" w:hAnsi="Times New Roman" w:cs="Times New Roman"/>
                <w:sz w:val="24"/>
                <w:szCs w:val="24"/>
              </w:rPr>
            </w:pPr>
          </w:p>
        </w:tc>
        <w:tc>
          <w:tcPr>
            <w:tcW w:w="1933" w:type="pct"/>
            <w:tcBorders>
              <w:bottom w:val="single" w:sz="12" w:space="0" w:color="FF0000"/>
            </w:tcBorders>
            <w:shd w:val="clear" w:color="auto" w:fill="B6DDE8" w:themeFill="accent5" w:themeFillTint="66"/>
          </w:tcPr>
          <w:p w:rsidR="003D2B57" w:rsidRPr="002A33D4" w:rsidRDefault="003D2B57" w:rsidP="009F1611">
            <w:pPr>
              <w:rPr>
                <w:rFonts w:ascii="Times New Roman" w:hAnsi="Times New Roman" w:cs="Times New Roman"/>
                <w:color w:val="000000"/>
                <w:sz w:val="24"/>
                <w:szCs w:val="24"/>
              </w:rPr>
            </w:pPr>
            <w:r w:rsidRPr="002A33D4">
              <w:rPr>
                <w:rFonts w:ascii="Times New Roman" w:hAnsi="Times New Roman" w:cs="Times New Roman"/>
                <w:color w:val="000000"/>
                <w:sz w:val="24"/>
                <w:szCs w:val="24"/>
              </w:rPr>
              <w:t>netekusiems 60 %</w:t>
            </w:r>
            <w:r w:rsidR="002A33D4">
              <w:rPr>
                <w:rFonts w:ascii="Times New Roman" w:hAnsi="Times New Roman" w:cs="Times New Roman"/>
                <w:color w:val="000000"/>
                <w:sz w:val="24"/>
                <w:szCs w:val="24"/>
              </w:rPr>
              <w:t xml:space="preserve"> darbingumo</w:t>
            </w:r>
            <w:r w:rsidRPr="002A33D4">
              <w:rPr>
                <w:rFonts w:ascii="Times New Roman" w:hAnsi="Times New Roman" w:cs="Times New Roman"/>
                <w:color w:val="000000"/>
                <w:sz w:val="24"/>
                <w:szCs w:val="24"/>
              </w:rPr>
              <w:t xml:space="preserve"> – </w:t>
            </w:r>
            <w:r w:rsidR="00460604" w:rsidRPr="00460604">
              <w:rPr>
                <w:rFonts w:ascii="Times New Roman" w:hAnsi="Times New Roman" w:cs="Times New Roman"/>
                <w:b/>
                <w:color w:val="000000"/>
                <w:sz w:val="24"/>
                <w:szCs w:val="24"/>
              </w:rPr>
              <w:t>100,80 Eur</w:t>
            </w:r>
            <w:r w:rsidR="00460604">
              <w:rPr>
                <w:rFonts w:ascii="Times New Roman" w:hAnsi="Times New Roman" w:cs="Times New Roman"/>
                <w:color w:val="000000"/>
                <w:sz w:val="24"/>
                <w:szCs w:val="24"/>
              </w:rPr>
              <w:t xml:space="preserve"> (</w:t>
            </w:r>
            <w:r w:rsidRPr="002A33D4">
              <w:rPr>
                <w:rFonts w:ascii="Times New Roman" w:hAnsi="Times New Roman" w:cs="Times New Roman"/>
                <w:color w:val="000000"/>
                <w:sz w:val="24"/>
                <w:szCs w:val="24"/>
              </w:rPr>
              <w:t>0,9 ŠPB</w:t>
            </w:r>
            <w:r w:rsidR="00460604">
              <w:rPr>
                <w:rFonts w:ascii="Times New Roman" w:hAnsi="Times New Roman" w:cs="Times New Roman"/>
                <w:color w:val="000000"/>
                <w:sz w:val="24"/>
                <w:szCs w:val="24"/>
              </w:rPr>
              <w:t>)</w:t>
            </w:r>
            <w:r w:rsidRPr="002A33D4">
              <w:rPr>
                <w:rFonts w:ascii="Times New Roman" w:hAnsi="Times New Roman" w:cs="Times New Roman"/>
                <w:color w:val="000000"/>
                <w:sz w:val="24"/>
                <w:szCs w:val="24"/>
              </w:rPr>
              <w:t xml:space="preserve"> </w:t>
            </w:r>
          </w:p>
        </w:tc>
        <w:tc>
          <w:tcPr>
            <w:tcW w:w="1720" w:type="pct"/>
            <w:vMerge/>
            <w:tcBorders>
              <w:top w:val="single" w:sz="12" w:space="0" w:color="auto"/>
              <w:bottom w:val="single" w:sz="12" w:space="0" w:color="FF0000"/>
              <w:right w:val="single" w:sz="12" w:space="0" w:color="FF0000"/>
            </w:tcBorders>
            <w:shd w:val="clear" w:color="auto" w:fill="B6DDE8" w:themeFill="accent5" w:themeFillTint="66"/>
          </w:tcPr>
          <w:p w:rsidR="003D2B57" w:rsidRPr="002A33D4" w:rsidRDefault="003D2B57">
            <w:pPr>
              <w:rPr>
                <w:rFonts w:ascii="Times New Roman" w:hAnsi="Times New Roman" w:cs="Times New Roman"/>
                <w:sz w:val="24"/>
                <w:szCs w:val="24"/>
              </w:rPr>
            </w:pPr>
          </w:p>
        </w:tc>
      </w:tr>
    </w:tbl>
    <w:p w:rsidR="00346F74" w:rsidRPr="002A33D4" w:rsidRDefault="00346F74">
      <w:pPr>
        <w:rPr>
          <w:rFonts w:ascii="Times New Roman" w:hAnsi="Times New Roman" w:cs="Times New Roman"/>
          <w:sz w:val="24"/>
          <w:szCs w:val="24"/>
        </w:rPr>
      </w:pPr>
    </w:p>
    <w:sectPr w:rsidR="00346F74" w:rsidRPr="002A33D4" w:rsidSect="004B79C9">
      <w:pgSz w:w="16838" w:h="11906" w:orient="landscape"/>
      <w:pgMar w:top="1701" w:right="1701"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296"/>
  <w:hyphenationZone w:val="396"/>
  <w:drawingGridHorizontalSpacing w:val="110"/>
  <w:displayHorizontalDrawingGridEvery w:val="2"/>
  <w:characterSpacingControl w:val="doNotCompress"/>
  <w:compat/>
  <w:rsids>
    <w:rsidRoot w:val="004B79C9"/>
    <w:rsid w:val="00036E6B"/>
    <w:rsid w:val="0005249C"/>
    <w:rsid w:val="00097C7A"/>
    <w:rsid w:val="000B30CD"/>
    <w:rsid w:val="00102EE3"/>
    <w:rsid w:val="00190E60"/>
    <w:rsid w:val="002A33D4"/>
    <w:rsid w:val="00346F74"/>
    <w:rsid w:val="003D2B57"/>
    <w:rsid w:val="00444098"/>
    <w:rsid w:val="00460604"/>
    <w:rsid w:val="00476476"/>
    <w:rsid w:val="004B79C9"/>
    <w:rsid w:val="00584315"/>
    <w:rsid w:val="005B7990"/>
    <w:rsid w:val="007666E7"/>
    <w:rsid w:val="009F1611"/>
    <w:rsid w:val="00A27ACD"/>
    <w:rsid w:val="00B60A0E"/>
    <w:rsid w:val="00C0677D"/>
    <w:rsid w:val="00ED2111"/>
    <w:rsid w:val="00F304F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304F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4B7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semiHidden/>
    <w:unhideWhenUsed/>
    <w:rsid w:val="004B79C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4B79C9"/>
    <w:rPr>
      <w:b/>
      <w:bCs/>
    </w:rPr>
  </w:style>
  <w:style w:type="character" w:customStyle="1" w:styleId="apple-converted-space">
    <w:name w:val="apple-converted-space"/>
    <w:basedOn w:val="Numatytasispastraiposriftas"/>
    <w:rsid w:val="004B79C9"/>
  </w:style>
</w:styles>
</file>

<file path=word/webSettings.xml><?xml version="1.0" encoding="utf-8"?>
<w:webSettings xmlns:r="http://schemas.openxmlformats.org/officeDocument/2006/relationships" xmlns:w="http://schemas.openxmlformats.org/wordprocessingml/2006/main">
  <w:divs>
    <w:div w:id="332923085">
      <w:bodyDiv w:val="1"/>
      <w:marLeft w:val="0"/>
      <w:marRight w:val="0"/>
      <w:marTop w:val="0"/>
      <w:marBottom w:val="0"/>
      <w:divBdr>
        <w:top w:val="none" w:sz="0" w:space="0" w:color="auto"/>
        <w:left w:val="none" w:sz="0" w:space="0" w:color="auto"/>
        <w:bottom w:val="none" w:sz="0" w:space="0" w:color="auto"/>
        <w:right w:val="none" w:sz="0" w:space="0" w:color="auto"/>
      </w:divBdr>
    </w:div>
    <w:div w:id="34571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1471</Words>
  <Characters>840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Jurgos</dc:creator>
  <cp:lastModifiedBy>Jurgos</cp:lastModifiedBy>
  <cp:revision>6</cp:revision>
  <dcterms:created xsi:type="dcterms:W3CDTF">2017-02-10T07:11:00Z</dcterms:created>
  <dcterms:modified xsi:type="dcterms:W3CDTF">2017-02-13T07:58:00Z</dcterms:modified>
</cp:coreProperties>
</file>